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项目名称：医务社工介入全域安宁疗护服务体系建设（第二次</w:t>
      </w:r>
      <w:bookmarkStart w:id="7" w:name="_GoBack"/>
      <w:bookmarkEnd w:id="7"/>
      <w:r>
        <w:rPr>
          <w:rFonts w:hint="eastAsia"/>
          <w:sz w:val="44"/>
          <w:szCs w:val="44"/>
          <w:highlight w:val="none"/>
          <w:lang w:val="en-US" w:eastAsia="zh-CN"/>
        </w:rPr>
        <w:t>）</w:t>
      </w:r>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项目编号：BSRMYY-YNCG-2026-08022</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3"/>
        </w:numPr>
        <w:kinsoku/>
        <w:wordWrap/>
        <w:overflowPunct/>
        <w:topLinePunct w:val="0"/>
        <w:autoSpaceDE/>
        <w:autoSpaceDN/>
        <w:bidi w:val="0"/>
        <w:adjustRightInd/>
        <w:snapToGrid/>
        <w:spacing w:before="0" w:after="0" w:line="240" w:lineRule="auto"/>
        <w:ind w:leftChars="0"/>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采购项目介绍   </w:t>
      </w:r>
    </w:p>
    <w:tbl>
      <w:tblPr>
        <w:tblStyle w:val="13"/>
        <w:tblW w:w="5242"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80"/>
        <w:gridCol w:w="2893"/>
        <w:gridCol w:w="1383"/>
        <w:gridCol w:w="1243"/>
        <w:gridCol w:w="2134"/>
        <w:gridCol w:w="1798"/>
      </w:tblGrid>
      <w:tr w14:paraId="591DD8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425" w:type="pct"/>
            <w:vAlign w:val="center"/>
          </w:tcPr>
          <w:p w14:paraId="281BA3F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序号</w:t>
            </w:r>
          </w:p>
        </w:tc>
        <w:tc>
          <w:tcPr>
            <w:tcW w:w="1400" w:type="pct"/>
            <w:vAlign w:val="center"/>
          </w:tcPr>
          <w:p w14:paraId="0CBC499A">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669" w:type="pct"/>
            <w:vAlign w:val="center"/>
          </w:tcPr>
          <w:p w14:paraId="07E6D49A">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数量</w:t>
            </w:r>
          </w:p>
        </w:tc>
        <w:tc>
          <w:tcPr>
            <w:tcW w:w="601" w:type="pct"/>
            <w:vAlign w:val="center"/>
          </w:tcPr>
          <w:p w14:paraId="430CE0E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032" w:type="pct"/>
            <w:vAlign w:val="center"/>
          </w:tcPr>
          <w:p w14:paraId="42B2C36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870" w:type="pct"/>
            <w:vAlign w:val="center"/>
          </w:tcPr>
          <w:p w14:paraId="3B975CD9">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7CD79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98" w:hRule="atLeast"/>
          <w:jc w:val="center"/>
        </w:trPr>
        <w:tc>
          <w:tcPr>
            <w:tcW w:w="425" w:type="pct"/>
            <w:shd w:val="clear" w:color="auto" w:fill="auto"/>
            <w:vAlign w:val="center"/>
          </w:tcPr>
          <w:p w14:paraId="7570D5CD">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rPr>
              <w:t>1</w:t>
            </w:r>
          </w:p>
        </w:tc>
        <w:tc>
          <w:tcPr>
            <w:tcW w:w="1400" w:type="pct"/>
            <w:vAlign w:val="center"/>
          </w:tcPr>
          <w:p w14:paraId="54AF69C9">
            <w:pPr>
              <w:pageBreakBefore w:val="0"/>
              <w:widowControl/>
              <w:kinsoku/>
              <w:wordWrap/>
              <w:overflowPunct/>
              <w:topLinePunct w:val="0"/>
              <w:autoSpaceDE/>
              <w:autoSpaceDN/>
              <w:bidi w:val="0"/>
              <w:adjustRightInd/>
              <w:snapToGrid/>
              <w:spacing w:line="240" w:lineRule="auto"/>
              <w:ind w:firstLine="0" w:firstLineChars="0"/>
              <w:jc w:val="left"/>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医务社工介入全域安宁疗护服务体系建设</w:t>
            </w:r>
          </w:p>
        </w:tc>
        <w:tc>
          <w:tcPr>
            <w:tcW w:w="669" w:type="pct"/>
            <w:vAlign w:val="center"/>
          </w:tcPr>
          <w:p w14:paraId="449CD550">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12</w:t>
            </w:r>
          </w:p>
        </w:tc>
        <w:tc>
          <w:tcPr>
            <w:tcW w:w="601" w:type="pct"/>
            <w:vAlign w:val="center"/>
          </w:tcPr>
          <w:p w14:paraId="361BB810">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月</w:t>
            </w:r>
          </w:p>
        </w:tc>
        <w:tc>
          <w:tcPr>
            <w:tcW w:w="1032" w:type="pct"/>
            <w:vAlign w:val="center"/>
          </w:tcPr>
          <w:p w14:paraId="2CDE7F3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4000</w:t>
            </w:r>
          </w:p>
        </w:tc>
        <w:tc>
          <w:tcPr>
            <w:tcW w:w="870" w:type="pct"/>
            <w:vAlign w:val="center"/>
          </w:tcPr>
          <w:p w14:paraId="12E1869A">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48000</w:t>
            </w:r>
          </w:p>
        </w:tc>
      </w:tr>
    </w:tbl>
    <w:p w14:paraId="0E7B3C2F">
      <w:pPr>
        <w:widowControl w:val="0"/>
        <w:numPr>
          <w:ilvl w:val="0"/>
          <w:numId w:val="0"/>
        </w:numPr>
        <w:jc w:val="both"/>
        <w:rPr>
          <w:rFonts w:hint="default"/>
          <w:highlight w:val="none"/>
          <w:lang w:val="en-US" w:eastAsia="zh-CN"/>
        </w:rPr>
      </w:pPr>
    </w:p>
    <w:p w14:paraId="5940C8D5">
      <w:pPr>
        <w:pStyle w:val="25"/>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3"/>
        <w:tblpPr w:leftFromText="180" w:rightFromText="180" w:vertAnchor="text" w:horzAnchor="page" w:tblpX="825" w:tblpY="94"/>
        <w:tblOverlap w:val="never"/>
        <w:tblW w:w="10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925"/>
        <w:gridCol w:w="7544"/>
      </w:tblGrid>
      <w:tr w14:paraId="55A6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40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E0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名称</w:t>
            </w:r>
          </w:p>
        </w:tc>
        <w:tc>
          <w:tcPr>
            <w:tcW w:w="7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A0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服务要求</w:t>
            </w:r>
          </w:p>
        </w:tc>
      </w:tr>
      <w:tr w14:paraId="43AD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4C5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763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医务社工介入全域安宁疗护服务体系建设</w:t>
            </w:r>
          </w:p>
        </w:tc>
        <w:tc>
          <w:tcPr>
            <w:tcW w:w="7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6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（一）第1-10个月（筹备及实施期）：</w:t>
            </w:r>
          </w:p>
          <w:p w14:paraId="61A287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1.每月须至少完成以下常规服务内容</w:t>
            </w:r>
          </w:p>
          <w:p w14:paraId="403BC0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（1）全域生死教育：1场（社区与基层交替开展，全年共12场，第11月补足2场）；</w:t>
            </w:r>
          </w:p>
          <w:p w14:paraId="0943EB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（2）病区芳香疗法：5人次（30-45分钟/人，全年共≥50人次）；</w:t>
            </w:r>
          </w:p>
          <w:p w14:paraId="196002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（3）ACP签署：2例（全年共≥24例，第11月补足4例）；</w:t>
            </w:r>
          </w:p>
          <w:p w14:paraId="6C9FBC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（4）生命故事书（叙事个案）：1册（全年共≥12册，第11月补足2册）；</w:t>
            </w:r>
          </w:p>
          <w:p w14:paraId="2E09C8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（5）四道人生工作坊：1场（全年共12场，第11月补足2场）；</w:t>
            </w:r>
          </w:p>
          <w:p w14:paraId="3096DF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（6）生日会：1场（全年共≥12场，含第11、12月）；</w:t>
            </w:r>
          </w:p>
          <w:p w14:paraId="2F9087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（7）家庭会议：2户（全年共≥24户，第11月补足4户）；</w:t>
            </w:r>
          </w:p>
          <w:p w14:paraId="077F17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（8）哀伤辅导工作坊：1人次（全年共12人次，第11月补足2人次）；</w:t>
            </w:r>
          </w:p>
          <w:p w14:paraId="1E33E9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（9）整理《安宁居家转介档案》：1份（全年共10份）；</w:t>
            </w:r>
          </w:p>
          <w:p w14:paraId="191CAC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（10）居家访视：2户次（全年共≥20户次）；</w:t>
            </w:r>
          </w:p>
          <w:p w14:paraId="484BA1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（11）志愿服务：30人次（全年共≥300人次）；</w:t>
            </w:r>
          </w:p>
          <w:p w14:paraId="47C5B8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（12）志愿者系统化培训与团建：1场（前8个月每月1场，全年共8场）。</w:t>
            </w:r>
          </w:p>
          <w:p w14:paraId="185054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2.特殊节点服务（第1-10个月内排期）：</w:t>
            </w:r>
          </w:p>
          <w:p w14:paraId="1B8B8D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（1）医护心灵SPA：第3、6、9月各完成1场（全年共4场）；</w:t>
            </w:r>
          </w:p>
          <w:p w14:paraId="011E78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（2）督导与人才带教：第3、6、9月各完成1次（全年共4次）；</w:t>
            </w:r>
          </w:p>
          <w:p w14:paraId="4BDD58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（3）市级以上新闻媒体宣传：第2、4、6、8、10月各完成1次（全年共6次，剩余1次在12月完成）。</w:t>
            </w:r>
          </w:p>
          <w:p w14:paraId="7CFDED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（二）第11个月（总结期前段）：指标冲刺与核心成果初产出</w:t>
            </w:r>
          </w:p>
          <w:p w14:paraId="508965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在完成当月常规服务基础上，额外完成以下任务：</w:t>
            </w:r>
          </w:p>
          <w:p w14:paraId="68ED82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1.指标：完成全域生死教育2场、ACP签署4例、生命故事书2册、四道人生工作坊2场、家庭会议4户、哀伤辅导工作坊2人次；</w:t>
            </w:r>
          </w:p>
          <w:p w14:paraId="2D22E2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2.专项任务：完成医护心灵SPA第4场、督导与人才带教第4次、市级以上新闻媒体宣传1次；</w:t>
            </w:r>
          </w:p>
          <w:p w14:paraId="7C010D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3.物化成果产出：产出《生死教育操作指南》1份；产出《预立医疗照护计划社工推进手册》1份；</w:t>
            </w:r>
          </w:p>
          <w:p w14:paraId="2E5FEE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4.视频制作：制作并交付《时光回忆录》视频3个。</w:t>
            </w:r>
          </w:p>
          <w:p w14:paraId="6549AB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（三）第12个月（总结期后段）：终期验收与成果展示</w:t>
            </w:r>
          </w:p>
          <w:p w14:paraId="54ED7C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1.举办主题影像展1场；</w:t>
            </w:r>
          </w:p>
          <w:p w14:paraId="48F761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2.产出《指尖花开生命故事集》1册；</w:t>
            </w:r>
          </w:p>
          <w:p w14:paraId="5E1CF0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3.制作并交付剩余《时光回忆录》视频2个（全年累计交付5个）；</w:t>
            </w:r>
          </w:p>
          <w:p w14:paraId="602E07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4.完成市级以上新闻媒体宣传1次（补足全年6次）；</w:t>
            </w:r>
          </w:p>
          <w:p w14:paraId="6435F9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5.整理全年服务记录与台账资料，配合采购人完成终期验收。</w:t>
            </w:r>
          </w:p>
          <w:p w14:paraId="4E26C8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（四）相关服务内容</w:t>
            </w:r>
          </w:p>
          <w:p w14:paraId="4D76C4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1.生死教育：指在社区、养老院及基层医院开展的死亡教育与生命话题探讨。通过布置“生命咖啡馆”等形式，引导居民和长者轻松漫谈生命末期话题，打破社会对死亡的避讳和禁忌，并普及“生前预嘱”理念。</w:t>
            </w:r>
          </w:p>
          <w:p w14:paraId="64C408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2.病区芳香疗法：指联合专业芳香治疗师，使用植物精油（如薰衣草、甜橙等）通过吸嗅、抚触或穴位按摩的方式，帮助临终患者快速降低躯体疼痛感和内心焦虑感，使其身心放松，为后续深度沟通创造平静条件。</w:t>
            </w:r>
          </w:p>
          <w:p w14:paraId="230B71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3.ACP（预立医疗照护计划）推进：指在患者意识清醒时，社工作为中立第三方，引导患者与家属、医护沟通，让患者提前表达在生命末期（如无法自主呼吸或进食时）希望接受或拒绝哪些抢救措施（如插管、心肺复苏），并协助签署意愿书，以保障患者的生命自主权。</w:t>
            </w:r>
          </w:p>
          <w:p w14:paraId="4FE69E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4.生命故事书（叙事个案）：指运用叙事心理治疗技术，社工协助患者翻找老照片、信件等旧物，引导其回忆并口述或撰写人生中的“高光时刻”和重要故事，最终排版制作成一本专属的图文册。帮助患者重新确认生命的意义与价值，感到“这一生没有白活”。</w:t>
            </w:r>
          </w:p>
          <w:p w14:paraId="63CA38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5.四道人生工作坊：在患者临终前夕，社工主导召开正式家庭会议，引导患者与家属之间完成“道谢（感谢陪伴）、道歉（宽恕过往遗憾）、道爱（表达深情）、道别（从容放手）”，解开家庭心结，让生命终结时没有遗憾。</w:t>
            </w:r>
          </w:p>
          <w:p w14:paraId="5F95A5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6.哀伤辅导工作坊：在患者离世后，社工对主要照顾者（家属）进行阶梯式随访。运用沙盘游戏、正念冥想等心理学方法，帮助家属释放悲伤情绪，度过丧失亲人的痛苦期，最终重建正常的生活秩序。</w:t>
            </w:r>
          </w:p>
          <w:p w14:paraId="307545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7.《安宁居家转介档案》：当患者病情稳定选择出院回家时，社工将其在医院的ACP意愿、身体照护要点、情绪特征等核心信息整理成一份连续性照护档案，移交给社区全科医生和网格员，确保患者出院后社区能无缝衔接照护。</w:t>
            </w:r>
          </w:p>
          <w:p w14:paraId="6AAC5A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方正仿宋_GBK" w:hAnsi="方正仿宋_GBK" w:eastAsia="方正仿宋_GBK" w:cs="方正仿宋_GBK"/>
                <w:b/>
                <w:bCs/>
                <w:i w:val="0"/>
                <w:iCs w:val="0"/>
                <w:color w:val="000000"/>
                <w:kern w:val="0"/>
                <w:sz w:val="28"/>
                <w:szCs w:val="28"/>
                <w:highlight w:val="none"/>
                <w:u w:val="none"/>
                <w:lang w:val="en-US" w:eastAsia="zh-CN" w:bidi="ar"/>
              </w:rPr>
            </w:pPr>
            <w:r>
              <w:rPr>
                <w:rFonts w:hint="default" w:ascii="方正仿宋_GBK" w:hAnsi="方正仿宋_GBK" w:eastAsia="方正仿宋_GBK" w:cs="方正仿宋_GBK"/>
                <w:b/>
                <w:bCs/>
                <w:i w:val="0"/>
                <w:iCs w:val="0"/>
                <w:color w:val="000000"/>
                <w:kern w:val="0"/>
                <w:sz w:val="28"/>
                <w:szCs w:val="28"/>
                <w:highlight w:val="none"/>
                <w:u w:val="none"/>
                <w:lang w:val="en-US" w:eastAsia="zh-CN" w:bidi="ar"/>
              </w:rPr>
              <w:t>8.医护心灵SPA：面向长期直面死亡、易产生职业倦怠的安宁专科医护人员，开展巴林特小组（案例分享减压）、五感疗愈（视听嗅味触放松）等心理减压活动，帮助他们卸下心理疲惫，重拾工作初心。</w:t>
            </w:r>
          </w:p>
        </w:tc>
      </w:tr>
    </w:tbl>
    <w:p w14:paraId="3802DCCA">
      <w:pPr>
        <w:widowControl w:val="0"/>
        <w:numPr>
          <w:ilvl w:val="0"/>
          <w:numId w:val="0"/>
        </w:numPr>
        <w:jc w:val="both"/>
        <w:rPr>
          <w:rFonts w:hint="default"/>
          <w:highlight w:val="none"/>
          <w:lang w:val="en-US" w:eastAsia="zh-CN"/>
        </w:rPr>
      </w:pPr>
    </w:p>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4C711F0A">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资质主体要求：供应商须为依法在民政部门登记成立、主营社会工作服务的社会组织（民办非企业单位）；或在市场监管部门完成登记设立，能够提供社会工作服务、心理咨询、健康咨询等相关业务的法人企业。</w:t>
      </w:r>
    </w:p>
    <w:p w14:paraId="2E6A4BA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2.人员资质要求：供应商须承诺并出具证明，能够派驻符合以下要求的专业团队：</w:t>
      </w:r>
    </w:p>
    <w:p w14:paraId="7D1C10D3">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（1）项目负责人：具有社会工作师职业水平证书，且具有3年及以上医务社工、安宁疗护或老年社工领域实务经验。</w:t>
      </w:r>
    </w:p>
    <w:p w14:paraId="59F6D019">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（2）专职医务社工（3名）：具有助理社会工作师及以上职业水平证书，或持有国家心理咨询师证书、老年人评估师资质。</w:t>
      </w:r>
    </w:p>
    <w:p w14:paraId="337D218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3.项目经验要求：供应商近三年内（自公告发布之日起前三年），须至少具备1项类似项目业绩（承接过医疗机构内的医务社工服务项目，或承接过全域安宁疗护体系建设、生命教育等政府购买服务项目）。</w:t>
      </w:r>
    </w:p>
    <w:p w14:paraId="477E691E">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29" w:leftChars="0" w:right="0" w:rightChars="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4.信用记录要求：供应商未被列入“信用中国”网站的“失信被执行人”及“重大税收违法失信案件”名单，未被中国政府采购网列入“政府采购严重违法失信行为记录名单”。</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本项目最高限价48000元，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w:t>
      </w:r>
      <w:r>
        <w:rPr>
          <w:rFonts w:hint="default" w:ascii="方正仿宋_GBK" w:hAnsi="方正仿宋_GBK" w:eastAsia="方正仿宋_GBK" w:cs="方正仿宋_GBK"/>
          <w:color w:val="auto"/>
          <w:kern w:val="0"/>
          <w:sz w:val="32"/>
          <w:szCs w:val="32"/>
          <w:highlight w:val="none"/>
          <w:lang w:val="en-US" w:eastAsia="zh-CN"/>
        </w:rPr>
        <w:t>但不限于</w:t>
      </w:r>
      <w:r>
        <w:rPr>
          <w:rFonts w:hint="eastAsia" w:ascii="方正仿宋_GBK" w:hAnsi="方正仿宋_GBK" w:eastAsia="方正仿宋_GBK" w:cs="方正仿宋_GBK"/>
          <w:color w:val="auto"/>
          <w:kern w:val="0"/>
          <w:sz w:val="32"/>
          <w:szCs w:val="32"/>
          <w:highlight w:val="none"/>
          <w:lang w:val="en-US" w:eastAsia="zh-CN"/>
        </w:rPr>
        <w:t>项目服务费、配套设备辅材费、资料装订及邮寄费、税费、保险费、验收检测费等完成本项目所需的一切费用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（四）</w:t>
      </w:r>
      <w:r>
        <w:rPr>
          <w:rFonts w:hint="eastAsia" w:ascii="方正仿宋_GBK" w:hAnsi="方正仿宋_GBK" w:eastAsia="方正仿宋_GBK" w:cs="方正仿宋_GBK"/>
          <w:b/>
          <w:bCs/>
          <w:color w:val="auto"/>
          <w:sz w:val="32"/>
          <w:szCs w:val="32"/>
          <w:highlight w:val="none"/>
        </w:rPr>
        <w:t>付款方式</w:t>
      </w:r>
    </w:p>
    <w:p w14:paraId="55C06C6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1.本项目服务费按月度结算（合同总金额的1/12），每月任务量经考核全部完成后，供应商凭等额、合法有效的增值税发票及月度考核记录申请支付当月劳务费。若月度任务量未完全完成，扣除当月劳务费的5%。</w:t>
      </w:r>
    </w:p>
    <w:p w14:paraId="1E689E3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2.前11个月劳务费按月度考核结果据实发放；最后1个月劳务费与项目终期验收挂钩。</w:t>
      </w:r>
    </w:p>
    <w:p w14:paraId="100187C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3.终期验收通过的，发放最后1个月全额劳务费；终期验收不通过的，扣除最后1个月劳务费的20%，供应商须立即整改，整改验收通过后发放剩余部分。</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（五）验收方案</w:t>
      </w:r>
    </w:p>
    <w:p w14:paraId="2646C69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1.月度考核：采购人每月对照合同约定的月度服务内容及服务效果考核标准，对供应商当月任务完成情况进行逐项考核，形成月度考核记录。</w:t>
      </w:r>
    </w:p>
    <w:p w14:paraId="3DC4456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2.终期验收：项目服务期满后，由采购人与上级社工部门共同组成验收专家组，对项目整体完成情况进行综合验收，出具书面验收意见。</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（六）服务效果考核</w:t>
      </w:r>
    </w:p>
    <w:p w14:paraId="0DC3DA3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1.数量指标：各项服务内容完成率需达到100%；</w:t>
      </w:r>
    </w:p>
    <w:p w14:paraId="2FD50A2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2.质量指标：服务对象（患者及家属）满意度≥90%；且不能以任何方式途径泄露患者及相关照护者隐私；</w:t>
      </w:r>
    </w:p>
    <w:p w14:paraId="6F44C6E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3.时效指标：按计划进度完成各项服务，发生突发事件需在24小时内响应；</w:t>
      </w:r>
    </w:p>
    <w:p w14:paraId="0114D3C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4.资料管理：服务记录、档案资料齐全，归档率100%。</w:t>
      </w:r>
    </w:p>
    <w:p w14:paraId="638D5E28">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highlight w:val="none"/>
          <w:lang w:val="en-US" w:eastAsia="zh-CN"/>
          <w14:textFill>
            <w14:solidFill>
              <w14:schemeClr w14:val="tx1"/>
            </w14:solidFill>
          </w14:textFill>
        </w:rPr>
        <w:t>（七）配套服务</w:t>
      </w:r>
    </w:p>
    <w:p w14:paraId="3347B74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1.培训要求</w:t>
      </w:r>
    </w:p>
    <w:p w14:paraId="4398234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（1）项目启动前，供应商需对相关医护人员进行安宁疗护理念及配合流程培训至少1次；</w:t>
      </w:r>
    </w:p>
    <w:p w14:paraId="554048C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（2）服务期间，需为医院志愿服务团队提供专业社工技能培训至少2次。</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DE77E1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中选供应商应在签订合同前，向采购人缴纳项目履约保证金，金额为合同总金额的5%，若供应商未履行采购人要求的全部责任与义务，则全额扣除。</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527D8C8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1.供应商未按采购人要求时限完成《生死教育操作指南》《ACP推进手册》等核心成果物、未举办主题影像展，每逾期一日承担合同总金额0.5%的违约金，逾期超15日采购人有权拒付最后一次结算费用；</w:t>
      </w:r>
    </w:p>
    <w:p w14:paraId="08280A5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2.供应商服务引起的纠纷事故，每次承担2000元违约金，同时承担相应的赔偿责任；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3.供应商累计违约达3次以上，采购人有权单方面解除合同。未按配套服务要求提供服务的，供应商承担200元/次的违约金。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服务出现技术和质量问题，未无条件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并要求供应商返还已支付款项并承担合同金额1倍的违约金;⑩使用中发现供应商提供的服务存在质量或安全问题供应商未立即整改，采购人有权解除合同并要求供应商承担项目金额2倍违约金;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因供应商及提供服务原因引发纠纷、造成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服务过程中损害采购人利益、供应商违纪违法行为、供应商提供服务造成不良影响），应赔偿对采购人造成的直接和间接损失全额损失及承担相应法律责任。合同履行期间发生争议，协商无果由重庆市璧山区人民法院裁决。</w:t>
      </w:r>
    </w:p>
    <w:p w14:paraId="67198083">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（十一）其他要求</w:t>
      </w:r>
    </w:p>
    <w:p w14:paraId="4576425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 供应商需自行提供办公设备用品；</w:t>
      </w:r>
    </w:p>
    <w:p w14:paraId="5E34166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 在医院开展业务需遵守医院规章制度，不得误导患者服务主体为第三方而非医院；</w:t>
      </w:r>
    </w:p>
    <w:p w14:paraId="2D184263">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 服务记录月度交归口职能部门核实备案；</w:t>
      </w:r>
    </w:p>
    <w:p w14:paraId="40538B8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 票据要求：每次申请付款前须提供等额、合法有效的增值税发票。</w:t>
      </w:r>
    </w:p>
    <w:p w14:paraId="5775C32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 知识产权：项目执行过程中产生的所有成果（指南、手册、故事集、视频、数据等）知识产权及所有权均归医院所有，机构不得擅自商用或公开发表。</w:t>
      </w:r>
    </w:p>
    <w:p w14:paraId="4BB538B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 人员劳动关系：派驻社工及志愿者劳动关系隶属于供应商，由供应商承担用工责任、保险及工伤风险，保证团队稳定性。</w:t>
      </w:r>
    </w:p>
    <w:p w14:paraId="4F0A6F3A">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 安全与保险：供应商须为派驻人员及志愿者购买意外伤害险及职业责任险；居家访视须执行“双人入户”制度。</w:t>
      </w:r>
    </w:p>
    <w:p w14:paraId="7003F26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 保密要求：严格对患者信息进行脱敏处理，保密义务不因合同终止而失效。</w:t>
      </w:r>
    </w:p>
    <w:p w14:paraId="3946C2AE">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 审计监督：医院有权查阅服务台账及财务明细，项目结束后有权实施专项审计。</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（十二）</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48541E4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1.合同周期内供应商出现3次及以上违约行为；</w:t>
      </w:r>
    </w:p>
    <w:p w14:paraId="0AFE0D9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2.供应商存在廉洁违纪行为；</w:t>
      </w:r>
    </w:p>
    <w:p w14:paraId="3AB7E21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3.供应商主动放弃等；</w:t>
      </w:r>
    </w:p>
    <w:p w14:paraId="0F5B8A8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4.出现严重伦理违规、隐私泄露或安全责任事故；</w:t>
      </w:r>
    </w:p>
    <w:p w14:paraId="635977F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5.非不可抗力原因单方面停止服务。</w:t>
      </w:r>
    </w:p>
    <w:p w14:paraId="00557A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8.本项目其他采购人的业绩资料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11.配套服务承诺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2B6D201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资质主体要求：供应商须为依法在民政部门登记成立、主营社会工作服务的社会组织（民办非企业单位）；或在市场监管部门完成登记设立，能够提供社会工作服务、心理咨询、健康咨询等相关业务的法人企业。</w:t>
      </w:r>
    </w:p>
    <w:p w14:paraId="7A0C0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2.人员资质要求：供应商须承诺并出具证明，能够派驻符合以下要求的专业团队：</w:t>
      </w:r>
    </w:p>
    <w:p w14:paraId="409F97B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（1）项目负责人：具有社会工作师职业水平证书，且具有3年及以上医务社工、安宁疗护或老年社工领域实务经验。</w:t>
      </w:r>
    </w:p>
    <w:p w14:paraId="4159F2D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（2）专职医务社工（3名）：具有助理社会工作师及以上职业水平证书，或持有国家心理咨询师证书、老年人评估师资质。</w:t>
      </w:r>
    </w:p>
    <w:p w14:paraId="38D60D9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3.项目经验要求：供应商近三年内（自公告发布之日起前三年），须至少具备1项类似项目业绩（承接过医疗机构内的医务社工服务项目，或承接过全域安宁疗护体系建设、生命教育等政府购买服务项目）。</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4.信用记录要求：供应商未被列入“信用中国”网站的“失信被执行人”及“重大税收违法失信案件”名单，未被中国政府采购网列入“政府采购严重违法失信行为记录名单”。</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28229747"/>
      <w:bookmarkStart w:id="1" w:name="_Toc128229304"/>
      <w:bookmarkStart w:id="2" w:name="_Toc128014297"/>
      <w:bookmarkStart w:id="3" w:name="_Toc156196472"/>
      <w:bookmarkStart w:id="4" w:name="_Toc175017344"/>
      <w:bookmarkStart w:id="5" w:name="_Toc237057793"/>
      <w:bookmarkStart w:id="6" w:name="_Toc173677399"/>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9"/>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愿意按照询价采购文件中的一切要求，提供本项目的服务，按总价报价为人民币大写：</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9"/>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9"/>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9"/>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3"/>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规格</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6"/>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1"/>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3"/>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3"/>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7767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A5BC57D">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服务效果考核</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D4218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C020F9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6ED4ABC">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配套服务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4F47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B50724">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其他要求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448F4A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25E9074">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2610F5C">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本项目其他采购人的业绩资料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lang w:eastAsia="zh-CN"/>
        </w:rPr>
        <w:t>配套</w:t>
      </w:r>
      <w:r>
        <w:rPr>
          <w:rFonts w:hint="eastAsia" w:ascii="方正仿宋_GBK" w:hAnsi="方正仿宋_GBK" w:eastAsia="方正仿宋_GBK" w:cs="方正仿宋_GBK"/>
          <w:b/>
          <w:bCs/>
          <w:sz w:val="32"/>
          <w:szCs w:val="32"/>
          <w:highlight w:val="none"/>
        </w:rPr>
        <w:t>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lang w:eastAsia="zh-CN"/>
        </w:rPr>
        <w:t>配套</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57D60"/>
    <w:multiLevelType w:val="singleLevel"/>
    <w:tmpl w:val="80857D60"/>
    <w:lvl w:ilvl="0" w:tentative="0">
      <w:start w:val="1"/>
      <w:numFmt w:val="chineseCounting"/>
      <w:suff w:val="nothing"/>
      <w:lvlText w:val="%1、"/>
      <w:lvlJc w:val="left"/>
      <w:rPr>
        <w:rFonts w:hint="eastAsia"/>
      </w:rPr>
    </w:lvl>
  </w:abstractNum>
  <w:abstractNum w:abstractNumId="1">
    <w:nsid w:val="880E7C6F"/>
    <w:multiLevelType w:val="singleLevel"/>
    <w:tmpl w:val="880E7C6F"/>
    <w:lvl w:ilvl="0" w:tentative="0">
      <w:start w:val="1"/>
      <w:numFmt w:val="decimal"/>
      <w:suff w:val="nothing"/>
      <w:lvlText w:val="%1．"/>
      <w:lvlJc w:val="left"/>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7"/>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DF63B0"/>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3F0183"/>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B00769"/>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BB253E"/>
    <w:rsid w:val="3DC47F4A"/>
    <w:rsid w:val="3DE758A5"/>
    <w:rsid w:val="3E490B2A"/>
    <w:rsid w:val="3E9B4AFA"/>
    <w:rsid w:val="3F010273"/>
    <w:rsid w:val="3F5C6F82"/>
    <w:rsid w:val="3F7A35A1"/>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9D29EF"/>
    <w:rsid w:val="4AE139DB"/>
    <w:rsid w:val="4B2941E0"/>
    <w:rsid w:val="4BDB0A24"/>
    <w:rsid w:val="4C31315D"/>
    <w:rsid w:val="4CB56EFC"/>
    <w:rsid w:val="4D001BA2"/>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D6127F"/>
    <w:rsid w:val="74EA3555"/>
    <w:rsid w:val="750F77E4"/>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9">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5"/>
    <w:next w:val="12"/>
    <w:qFormat/>
    <w:uiPriority w:val="0"/>
    <w:pPr>
      <w:spacing w:line="360" w:lineRule="auto"/>
      <w:ind w:firstLine="420"/>
    </w:pPr>
    <w:rPr>
      <w:rFonts w:ascii="宋体" w:hAnsi="宋体"/>
      <w:sz w:val="24"/>
    </w:rPr>
  </w:style>
  <w:style w:type="paragraph" w:styleId="12">
    <w:name w:val="Body Text First Indent 2"/>
    <w:basedOn w:val="6"/>
    <w:qFormat/>
    <w:uiPriority w:val="0"/>
    <w:pPr>
      <w:spacing w:after="120" w:afterLines="0" w:line="240" w:lineRule="auto"/>
      <w:ind w:left="420" w:leftChars="200"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8">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1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0">
    <w:name w:val="font91"/>
    <w:basedOn w:val="15"/>
    <w:qFormat/>
    <w:uiPriority w:val="0"/>
    <w:rPr>
      <w:rFonts w:ascii="楷体" w:hAnsi="楷体" w:eastAsia="楷体" w:cs="楷体"/>
      <w:color w:val="000000"/>
      <w:sz w:val="22"/>
      <w:szCs w:val="22"/>
      <w:u w:val="none"/>
      <w:vertAlign w:val="superscript"/>
    </w:rPr>
  </w:style>
  <w:style w:type="character" w:customStyle="1" w:styleId="21">
    <w:name w:val="font21"/>
    <w:basedOn w:val="15"/>
    <w:qFormat/>
    <w:uiPriority w:val="0"/>
    <w:rPr>
      <w:rFonts w:hint="eastAsia" w:ascii="仿宋" w:hAnsi="仿宋" w:eastAsia="仿宋" w:cs="仿宋"/>
      <w:b/>
      <w:bCs/>
      <w:color w:val="000000"/>
      <w:sz w:val="24"/>
      <w:szCs w:val="24"/>
      <w:u w:val="none"/>
    </w:rPr>
  </w:style>
  <w:style w:type="paragraph" w:customStyle="1" w:styleId="22">
    <w:name w:val="BodyText"/>
    <w:basedOn w:val="1"/>
    <w:next w:val="23"/>
    <w:qFormat/>
    <w:uiPriority w:val="0"/>
    <w:pPr>
      <w:jc w:val="both"/>
      <w:textAlignment w:val="baseline"/>
    </w:pPr>
    <w:rPr>
      <w:rFonts w:ascii="仿宋_GB2312" w:eastAsia="仿宋_GB2312"/>
      <w:kern w:val="2"/>
      <w:sz w:val="32"/>
      <w:lang w:val="en-US" w:eastAsia="zh-CN" w:bidi="ar-SA"/>
    </w:rPr>
  </w:style>
  <w:style w:type="paragraph" w:customStyle="1" w:styleId="23">
    <w:name w:val="BodyTextIndent"/>
    <w:basedOn w:val="1"/>
    <w:qFormat/>
    <w:uiPriority w:val="0"/>
    <w:pPr>
      <w:spacing w:line="700" w:lineRule="exact"/>
      <w:ind w:left="960"/>
      <w:jc w:val="both"/>
      <w:textAlignment w:val="baseline"/>
    </w:pPr>
    <w:rPr>
      <w:kern w:val="2"/>
      <w:sz w:val="44"/>
      <w:lang w:val="en-US" w:eastAsia="zh-CN" w:bidi="ar-SA"/>
    </w:rPr>
  </w:style>
  <w:style w:type="paragraph" w:styleId="24">
    <w:name w:val="List Paragraph"/>
    <w:basedOn w:val="1"/>
    <w:qFormat/>
    <w:uiPriority w:val="34"/>
    <w:pPr>
      <w:ind w:firstLine="420" w:firstLineChars="200"/>
    </w:pPr>
  </w:style>
  <w:style w:type="paragraph" w:customStyle="1" w:styleId="25">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6">
    <w:name w:val="正文文本缩进1"/>
    <w:basedOn w:val="1"/>
    <w:qFormat/>
    <w:uiPriority w:val="0"/>
    <w:pPr>
      <w:spacing w:line="700" w:lineRule="exact"/>
      <w:ind w:left="960"/>
    </w:pPr>
    <w:rPr>
      <w:sz w:val="44"/>
    </w:rPr>
  </w:style>
  <w:style w:type="character" w:customStyle="1" w:styleId="27">
    <w:name w:val="font11"/>
    <w:basedOn w:val="15"/>
    <w:qFormat/>
    <w:uiPriority w:val="0"/>
    <w:rPr>
      <w:rFonts w:hint="eastAsia" w:ascii="宋体" w:hAnsi="宋体" w:eastAsia="宋体" w:cs="宋体"/>
      <w:color w:val="000000"/>
      <w:sz w:val="24"/>
      <w:szCs w:val="24"/>
      <w:u w:val="none"/>
    </w:rPr>
  </w:style>
  <w:style w:type="paragraph" w:customStyle="1" w:styleId="28">
    <w:name w:val="Table Text"/>
    <w:basedOn w:val="1"/>
    <w:semiHidden/>
    <w:qFormat/>
    <w:uiPriority w:val="0"/>
    <w:rPr>
      <w:rFonts w:ascii="宋体" w:hAnsi="宋体" w:eastAsia="宋体" w:cs="宋体"/>
      <w:sz w:val="26"/>
      <w:szCs w:val="26"/>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 w:type="character" w:customStyle="1" w:styleId="30">
    <w:name w:val="font61"/>
    <w:basedOn w:val="15"/>
    <w:qFormat/>
    <w:uiPriority w:val="0"/>
    <w:rPr>
      <w:rFonts w:hint="eastAsia" w:ascii="宋体" w:hAnsi="宋体" w:eastAsia="宋体" w:cs="宋体"/>
      <w:color w:val="000000"/>
      <w:sz w:val="20"/>
      <w:szCs w:val="20"/>
      <w:u w:val="none"/>
    </w:rPr>
  </w:style>
  <w:style w:type="character" w:customStyle="1" w:styleId="31">
    <w:name w:val="font51"/>
    <w:basedOn w:val="15"/>
    <w:qFormat/>
    <w:uiPriority w:val="0"/>
    <w:rPr>
      <w:rFonts w:hint="eastAsia" w:ascii="宋体" w:hAnsi="宋体" w:eastAsia="宋体" w:cs="宋体"/>
      <w:color w:val="000000"/>
      <w:sz w:val="20"/>
      <w:szCs w:val="20"/>
      <w:u w:val="none"/>
    </w:rPr>
  </w:style>
  <w:style w:type="character" w:customStyle="1" w:styleId="32">
    <w:name w:val="font71"/>
    <w:basedOn w:val="15"/>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9524</Words>
  <Characters>9820</Characters>
  <Lines>0</Lines>
  <Paragraphs>0</Paragraphs>
  <TotalTime>13</TotalTime>
  <ScaleCrop>false</ScaleCrop>
  <LinksUpToDate>false</LinksUpToDate>
  <CharactersWithSpaces>10490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2026-09-14T09:24:12Z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