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项目名称：PLA2G7 flox纯合且lyz2 creERT杂合小鼠（第二次）</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项目编号：BSRMYY-YNCG-2025-07012</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bookmarkStart w:id="7" w:name="_GoBack"/>
      <w:bookmarkEnd w:id="7"/>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4"/>
        <w:tblW w:w="468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0"/>
        <w:gridCol w:w="3644"/>
        <w:gridCol w:w="1853"/>
        <w:gridCol w:w="2287"/>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785"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973"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03"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数量（只）</w:t>
            </w:r>
          </w:p>
        </w:tc>
        <w:tc>
          <w:tcPr>
            <w:tcW w:w="1238"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785"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973"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PLA2G7 flox纯合且lyz2 creERT杂合小鼠</w:t>
            </w:r>
          </w:p>
        </w:tc>
        <w:tc>
          <w:tcPr>
            <w:tcW w:w="1003"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10</w:t>
            </w:r>
          </w:p>
        </w:tc>
        <w:tc>
          <w:tcPr>
            <w:tcW w:w="1238"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4600</w:t>
            </w:r>
          </w:p>
        </w:tc>
      </w:tr>
      <w:tr w14:paraId="42610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5000" w:type="pct"/>
            <w:gridSpan w:val="4"/>
            <w:vAlign w:val="center"/>
          </w:tcPr>
          <w:p w14:paraId="1E6B68A0">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合计总价为46000元</w:t>
            </w:r>
          </w:p>
        </w:tc>
      </w:tr>
    </w:tbl>
    <w:p w14:paraId="73EE7FE2">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4"/>
        <w:tblW w:w="46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4"/>
        <w:gridCol w:w="2485"/>
        <w:gridCol w:w="5820"/>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1" w:type="pct"/>
            <w:vAlign w:val="center"/>
          </w:tcPr>
          <w:p w14:paraId="1471F3D3">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361" w:type="pct"/>
            <w:vAlign w:val="center"/>
          </w:tcPr>
          <w:p w14:paraId="781E349F">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187" w:type="pct"/>
            <w:vAlign w:val="center"/>
          </w:tcPr>
          <w:p w14:paraId="1FA22701">
            <w:pPr>
              <w:pStyle w:val="26"/>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参数要求</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50" w:hRule="atLeast"/>
          <w:jc w:val="center"/>
        </w:trPr>
        <w:tc>
          <w:tcPr>
            <w:tcW w:w="451" w:type="pct"/>
            <w:shd w:val="clear" w:color="auto" w:fill="auto"/>
            <w:vAlign w:val="center"/>
          </w:tcPr>
          <w:p w14:paraId="6303FD0A">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361" w:type="pct"/>
            <w:shd w:val="clear" w:color="auto" w:fill="auto"/>
            <w:vAlign w:val="center"/>
          </w:tcPr>
          <w:p w14:paraId="13A0C638">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PLA2G7 flox纯合且lyz2 creERT杂合小鼠</w:t>
            </w:r>
          </w:p>
        </w:tc>
        <w:tc>
          <w:tcPr>
            <w:tcW w:w="3187" w:type="pct"/>
            <w:shd w:val="clear" w:color="auto" w:fill="auto"/>
            <w:vAlign w:val="center"/>
          </w:tcPr>
          <w:p w14:paraId="2CDF0D1C">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10只PLA2G7 flox纯合且lyz2 creERT杂合小鼠，不分雌雄，均在4 周龄以内，所有小鼠均须满足SPF级动物要求。</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992A41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1.营业执照经营范围须包括实验动物生产；</w:t>
      </w:r>
    </w:p>
    <w:p w14:paraId="3544508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2.提供实验动物生产许可证、实验动物使用许可证（范围均须包含小鼠）。</w:t>
      </w:r>
    </w:p>
    <w:p w14:paraId="31B7795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86F49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本项目最高限价46000元。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货款、运输装卸（送到采购人指定位置）、鼠尾鉴定费、验收检测费、资料装订及邮寄费、税费、保险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672F26B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及联系方式，不得实施商业贿赂等不良行为。合同签订前，供应商应提供所有小鼠的小鼠合格证、鼠尾鉴定报告、SPF检测数据（3个月内哨兵鼠检测报告）。</w:t>
      </w:r>
    </w:p>
    <w:p w14:paraId="06D4E28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中选后，一般情况接采购人通知后2周内开始进行小鼠构建，最长1年时间完成小鼠交付，</w:t>
      </w:r>
      <w:r>
        <w:rPr>
          <w:rFonts w:hint="eastAsia" w:ascii="方正仿宋_GBK" w:hAnsi="方正仿宋_GBK" w:eastAsia="方正仿宋_GBK" w:cs="方正仿宋_GBK"/>
          <w:color w:val="auto"/>
          <w:kern w:val="0"/>
          <w:sz w:val="32"/>
          <w:szCs w:val="32"/>
          <w:highlight w:val="none"/>
          <w:lang w:val="en-US" w:eastAsia="zh-CN"/>
        </w:rPr>
        <w:t>交付须使用小鼠转运笼。</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按照采购招标文件对小鼠存活状态、基因型等参数逐项验收，验收及使用中发现质量争议按照验收争议进行处理；验收争议时由采购人邀请第三方机构检测，费用由供应商承担。</w:t>
      </w:r>
    </w:p>
    <w:p w14:paraId="490E0F8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5EB39A8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（1）使用前至少培训1次基因型鉴定方法和合理的繁殖方案，要求具体使用人均会操作。</w:t>
      </w:r>
    </w:p>
    <w:p w14:paraId="0CE9E2A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（2）供应商应为采购人提供技术援助电话，解答采购人在使用中遇到的问题，及时提出解决问题的建议。</w:t>
      </w:r>
    </w:p>
    <w:p w14:paraId="735D48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（3）使用中如出现任何紧急情况，供应商应30分钟提供电话响应，4小时到达医院处置。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合同总金额千分之三的违约金，超过30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采购人有权解除合同，并要求供应商全款退还采购人已经支付的款项；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39955E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因供应商及其产品原因导致采购人损失的，应赔偿对医院造成的直接和间接损失全额损失。合同履行期间发生争议，协商无果由重庆市璧山区人民法院裁决。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328A3D1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小鼠基因型与合同要求不符；小鼠在正常饲养环境下2个月内突发死亡数量超过三分之一；供应商不能在约定期限内交付指定小鼠；供应商廉洁违纪行为；供应商主动放弃等。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1A8285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1.营业执照经营范围须包括实验动物生产；</w:t>
      </w:r>
    </w:p>
    <w:p w14:paraId="444767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2.提供实验动物生产许可证、实验动物使用许可证（范围均须包含小鼠）。</w:t>
      </w:r>
    </w:p>
    <w:p w14:paraId="52A932C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3.其他法律法规有关规定。</w:t>
      </w:r>
    </w:p>
    <w:p w14:paraId="698D3E1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75017344"/>
      <w:bookmarkStart w:id="2" w:name="_Toc156196472"/>
      <w:bookmarkStart w:id="3" w:name="_Toc128229747"/>
      <w:bookmarkStart w:id="4" w:name="_Toc237057793"/>
      <w:bookmarkStart w:id="5" w:name="_Toc128014297"/>
      <w:bookmarkStart w:id="6" w:name="_Toc128229304"/>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eastAsia="zh-CN"/>
        </w:rPr>
        <w:t>配套服务</w:t>
      </w:r>
      <w:r>
        <w:rPr>
          <w:rFonts w:hint="eastAsia" w:ascii="方正仿宋_GBK" w:hAnsi="方正仿宋_GBK" w:eastAsia="方正仿宋_GBK" w:cs="方正仿宋_GBK"/>
          <w:b/>
          <w:bCs/>
          <w:sz w:val="32"/>
          <w:szCs w:val="32"/>
          <w:highlight w:val="none"/>
        </w:rPr>
        <w:t>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1956A54"/>
    <w:rsid w:val="122D0B62"/>
    <w:rsid w:val="133D5E0A"/>
    <w:rsid w:val="150E48EE"/>
    <w:rsid w:val="15D4217A"/>
    <w:rsid w:val="175A3CEF"/>
    <w:rsid w:val="1922346A"/>
    <w:rsid w:val="1AAE2C67"/>
    <w:rsid w:val="1AF86BE0"/>
    <w:rsid w:val="1B3306B6"/>
    <w:rsid w:val="1BDE0896"/>
    <w:rsid w:val="1C1979BC"/>
    <w:rsid w:val="1CA06CA3"/>
    <w:rsid w:val="1CE4012E"/>
    <w:rsid w:val="1CF00EFC"/>
    <w:rsid w:val="1F2F00AB"/>
    <w:rsid w:val="1FC97167"/>
    <w:rsid w:val="1FEB3581"/>
    <w:rsid w:val="2027068C"/>
    <w:rsid w:val="205210D9"/>
    <w:rsid w:val="20746E51"/>
    <w:rsid w:val="20C96DFD"/>
    <w:rsid w:val="21426D4A"/>
    <w:rsid w:val="215F0650"/>
    <w:rsid w:val="236757CC"/>
    <w:rsid w:val="23FB11F4"/>
    <w:rsid w:val="27A21561"/>
    <w:rsid w:val="28256D6A"/>
    <w:rsid w:val="28275AF0"/>
    <w:rsid w:val="29AE2A56"/>
    <w:rsid w:val="2A1A6F3D"/>
    <w:rsid w:val="2C3529EE"/>
    <w:rsid w:val="2CCA628B"/>
    <w:rsid w:val="2F250420"/>
    <w:rsid w:val="2F2F3117"/>
    <w:rsid w:val="2FC44243"/>
    <w:rsid w:val="31092EA8"/>
    <w:rsid w:val="31B12793"/>
    <w:rsid w:val="33FB61AD"/>
    <w:rsid w:val="342C6BC9"/>
    <w:rsid w:val="35761799"/>
    <w:rsid w:val="359B4383"/>
    <w:rsid w:val="376E6279"/>
    <w:rsid w:val="378D7C4B"/>
    <w:rsid w:val="381A15C2"/>
    <w:rsid w:val="38A14340"/>
    <w:rsid w:val="396A2364"/>
    <w:rsid w:val="3A6A181A"/>
    <w:rsid w:val="3A800389"/>
    <w:rsid w:val="3D485EC4"/>
    <w:rsid w:val="3D8263F7"/>
    <w:rsid w:val="3DE758A5"/>
    <w:rsid w:val="3E490B2A"/>
    <w:rsid w:val="3ED26D52"/>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1915C25"/>
    <w:rsid w:val="53A17F68"/>
    <w:rsid w:val="53DB6C22"/>
    <w:rsid w:val="54B6568B"/>
    <w:rsid w:val="55085A60"/>
    <w:rsid w:val="55BB5978"/>
    <w:rsid w:val="564C7BCE"/>
    <w:rsid w:val="59343196"/>
    <w:rsid w:val="599E0097"/>
    <w:rsid w:val="5ADB7D78"/>
    <w:rsid w:val="5BF65E58"/>
    <w:rsid w:val="5D6C0A93"/>
    <w:rsid w:val="5D915A0E"/>
    <w:rsid w:val="5DBD061A"/>
    <w:rsid w:val="5DD971C1"/>
    <w:rsid w:val="5E932E93"/>
    <w:rsid w:val="5F364262"/>
    <w:rsid w:val="5FA4498B"/>
    <w:rsid w:val="60480506"/>
    <w:rsid w:val="61130716"/>
    <w:rsid w:val="61143219"/>
    <w:rsid w:val="61707CCC"/>
    <w:rsid w:val="61A6052D"/>
    <w:rsid w:val="61FF030F"/>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EB7F80"/>
    <w:rsid w:val="6D0072B3"/>
    <w:rsid w:val="6D1F523E"/>
    <w:rsid w:val="6D38732A"/>
    <w:rsid w:val="6DD05A39"/>
    <w:rsid w:val="6EC6360F"/>
    <w:rsid w:val="6EE24C47"/>
    <w:rsid w:val="6EF6241D"/>
    <w:rsid w:val="6FB940CF"/>
    <w:rsid w:val="704D7FCB"/>
    <w:rsid w:val="712B71E9"/>
    <w:rsid w:val="713118C3"/>
    <w:rsid w:val="71C02C3F"/>
    <w:rsid w:val="72BB5C94"/>
    <w:rsid w:val="72FB7C35"/>
    <w:rsid w:val="732B3BA9"/>
    <w:rsid w:val="74664EBC"/>
    <w:rsid w:val="748E4735"/>
    <w:rsid w:val="74A2126A"/>
    <w:rsid w:val="74EB59B8"/>
    <w:rsid w:val="761A5C47"/>
    <w:rsid w:val="77DC750A"/>
    <w:rsid w:val="77FA34D6"/>
    <w:rsid w:val="78024143"/>
    <w:rsid w:val="78F54CD1"/>
    <w:rsid w:val="799B64FC"/>
    <w:rsid w:val="7AF0174A"/>
    <w:rsid w:val="7B5C1973"/>
    <w:rsid w:val="7BDE27F0"/>
    <w:rsid w:val="7C6F2CF1"/>
    <w:rsid w:val="7CB244A3"/>
    <w:rsid w:val="7EBD0F4B"/>
    <w:rsid w:val="7EC65EC0"/>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6"/>
    <w:qFormat/>
    <w:uiPriority w:val="0"/>
    <w:rPr>
      <w:rFonts w:ascii="楷体" w:hAnsi="楷体" w:eastAsia="楷体" w:cs="楷体"/>
      <w:color w:val="000000"/>
      <w:sz w:val="22"/>
      <w:szCs w:val="22"/>
      <w:u w:val="none"/>
      <w:vertAlign w:val="superscript"/>
    </w:rPr>
  </w:style>
  <w:style w:type="character" w:customStyle="1" w:styleId="22">
    <w:name w:val="font21"/>
    <w:basedOn w:val="16"/>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11"/>
    <w:basedOn w:val="16"/>
    <w:qFormat/>
    <w:uiPriority w:val="0"/>
    <w:rPr>
      <w:rFonts w:hint="eastAsia" w:ascii="宋体" w:hAnsi="宋体" w:eastAsia="宋体" w:cs="宋体"/>
      <w:color w:val="000000"/>
      <w:sz w:val="24"/>
      <w:szCs w:val="24"/>
      <w:u w:val="none"/>
    </w:rPr>
  </w:style>
  <w:style w:type="paragraph" w:customStyle="1" w:styleId="29">
    <w:name w:val="Table Text"/>
    <w:basedOn w:val="1"/>
    <w:semiHidden/>
    <w:qFormat/>
    <w:uiPriority w:val="0"/>
    <w:rPr>
      <w:rFonts w:ascii="宋体" w:hAnsi="宋体" w:eastAsia="宋体" w:cs="宋体"/>
      <w:sz w:val="26"/>
      <w:szCs w:val="26"/>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6150</Words>
  <Characters>6419</Characters>
  <Lines>0</Lines>
  <Paragraphs>0</Paragraphs>
  <TotalTime>14</TotalTime>
  <ScaleCrop>false</ScaleCrop>
  <LinksUpToDate>false</LinksUpToDate>
  <CharactersWithSpaces>7118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2025-08-04T07:25:58Z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