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E8EED">
      <w:pPr>
        <w:keepNext w:val="0"/>
        <w:keepLines w:val="0"/>
        <w:pageBreakBefore w:val="0"/>
        <w:widowControl/>
        <w:kinsoku/>
        <w:wordWrap/>
        <w:overflowPunct/>
        <w:topLinePunct w:val="0"/>
        <w:autoSpaceDE/>
        <w:autoSpaceDN/>
        <w:bidi w:val="0"/>
        <w:adjustRightInd/>
        <w:snapToGrid/>
        <w:spacing w:after="480" w:line="640" w:lineRule="exact"/>
        <w:jc w:val="center"/>
        <w:textAlignment w:val="auto"/>
        <w:rPr>
          <w:rFonts w:hint="default"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r>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t>产品需求明细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A30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130" w:type="dxa"/>
            <w:vAlign w:val="center"/>
          </w:tcPr>
          <w:p w14:paraId="61BF110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申请科室</w:t>
            </w:r>
          </w:p>
        </w:tc>
        <w:tc>
          <w:tcPr>
            <w:tcW w:w="6392" w:type="dxa"/>
            <w:gridSpan w:val="3"/>
            <w:vAlign w:val="center"/>
          </w:tcPr>
          <w:p w14:paraId="43B8B0C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医务部</w:t>
            </w:r>
          </w:p>
        </w:tc>
      </w:tr>
      <w:tr w14:paraId="3FF4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130" w:type="dxa"/>
            <w:vAlign w:val="center"/>
          </w:tcPr>
          <w:p w14:paraId="7616C42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rPr>
            </w:pPr>
            <w:r>
              <w:rPr>
                <w:rFonts w:hint="default" w:ascii="Times New Roman" w:hAnsi="Times New Roman" w:eastAsia="方正仿宋_GBK" w:cs="Times New Roman"/>
                <w:sz w:val="28"/>
                <w:szCs w:val="28"/>
                <w:vertAlign w:val="baseline"/>
                <w:lang w:eastAsia="zh-CN"/>
              </w:rPr>
              <w:t>经办人</w:t>
            </w:r>
          </w:p>
        </w:tc>
        <w:tc>
          <w:tcPr>
            <w:tcW w:w="2130" w:type="dxa"/>
            <w:vAlign w:val="center"/>
          </w:tcPr>
          <w:p w14:paraId="4FCA0E3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刘老师</w:t>
            </w:r>
          </w:p>
        </w:tc>
        <w:tc>
          <w:tcPr>
            <w:tcW w:w="2131" w:type="dxa"/>
            <w:vAlign w:val="center"/>
          </w:tcPr>
          <w:p w14:paraId="3F0F5D8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联系电话</w:t>
            </w:r>
          </w:p>
        </w:tc>
        <w:tc>
          <w:tcPr>
            <w:tcW w:w="2131" w:type="dxa"/>
            <w:vAlign w:val="center"/>
          </w:tcPr>
          <w:p w14:paraId="258AA3B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023-41411897</w:t>
            </w:r>
          </w:p>
        </w:tc>
      </w:tr>
      <w:tr w14:paraId="6625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130" w:type="dxa"/>
            <w:vAlign w:val="center"/>
          </w:tcPr>
          <w:p w14:paraId="4432330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产品名称</w:t>
            </w:r>
          </w:p>
        </w:tc>
        <w:tc>
          <w:tcPr>
            <w:tcW w:w="2130" w:type="dxa"/>
            <w:vAlign w:val="center"/>
          </w:tcPr>
          <w:p w14:paraId="6337A6B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医务管理系统</w:t>
            </w:r>
          </w:p>
        </w:tc>
        <w:tc>
          <w:tcPr>
            <w:tcW w:w="2131" w:type="dxa"/>
            <w:vAlign w:val="center"/>
          </w:tcPr>
          <w:p w14:paraId="7A655E9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使用科室</w:t>
            </w:r>
          </w:p>
        </w:tc>
        <w:tc>
          <w:tcPr>
            <w:tcW w:w="2131" w:type="dxa"/>
            <w:vAlign w:val="center"/>
          </w:tcPr>
          <w:p w14:paraId="783F884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医务部、各临床科室</w:t>
            </w:r>
          </w:p>
        </w:tc>
      </w:tr>
      <w:tr w14:paraId="6FDD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130" w:type="dxa"/>
            <w:vAlign w:val="center"/>
          </w:tcPr>
          <w:p w14:paraId="3D705BE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产品类别</w:t>
            </w:r>
          </w:p>
        </w:tc>
        <w:tc>
          <w:tcPr>
            <w:tcW w:w="6392" w:type="dxa"/>
            <w:gridSpan w:val="3"/>
            <w:vAlign w:val="center"/>
          </w:tcPr>
          <w:p w14:paraId="4124A13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Times New Roman" w:hAnsi="Times New Roman" w:eastAsia="方正仿宋_GBK" w:cs="Times New Roman"/>
                <w:sz w:val="28"/>
                <w:szCs w:val="28"/>
                <w:vertAlign w:val="baseline"/>
                <w:lang w:val="en-US" w:eastAsia="zh-CN"/>
              </w:rPr>
              <w:t>信息</w:t>
            </w:r>
            <w:r>
              <w:rPr>
                <w:rFonts w:hint="default" w:ascii="Times New Roman" w:hAnsi="Times New Roman" w:eastAsia="方正仿宋_GBK" w:cs="Times New Roman"/>
                <w:sz w:val="28"/>
                <w:szCs w:val="28"/>
                <w:vertAlign w:val="baseline"/>
                <w:lang w:val="en-US" w:eastAsia="zh-CN"/>
              </w:rPr>
              <w:t>系统</w:t>
            </w:r>
          </w:p>
        </w:tc>
      </w:tr>
      <w:tr w14:paraId="1576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4" w:hRule="atLeast"/>
        </w:trPr>
        <w:tc>
          <w:tcPr>
            <w:tcW w:w="8522" w:type="dxa"/>
            <w:gridSpan w:val="4"/>
          </w:tcPr>
          <w:p w14:paraId="1D038412">
            <w:pPr>
              <w:keepNext w:val="0"/>
              <w:keepLines w:val="0"/>
              <w:pageBreakBefore w:val="0"/>
              <w:widowControl/>
              <w:kinsoku/>
              <w:wordWrap/>
              <w:overflowPunct/>
              <w:topLinePunct w:val="0"/>
              <w:autoSpaceDE/>
              <w:autoSpaceDN/>
              <w:bidi w:val="0"/>
              <w:adjustRightInd/>
              <w:snapToGrid/>
              <w:spacing w:line="440" w:lineRule="exact"/>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产品核心技术及性能要求：</w:t>
            </w:r>
          </w:p>
          <w:p w14:paraId="51ADD203">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一、</w:t>
            </w:r>
            <w:r>
              <w:rPr>
                <w:rFonts w:hint="default" w:ascii="Times New Roman" w:hAnsi="Times New Roman" w:eastAsia="方正仿宋_GBK" w:cs="Times New Roman"/>
                <w:sz w:val="28"/>
                <w:szCs w:val="28"/>
                <w:vertAlign w:val="baseline"/>
                <w:lang w:val="en-US" w:eastAsia="zh-CN"/>
              </w:rPr>
              <w:t>核心</w:t>
            </w:r>
            <w:r>
              <w:rPr>
                <w:rFonts w:hint="eastAsia" w:ascii="Times New Roman" w:hAnsi="Times New Roman" w:eastAsia="方正仿宋_GBK" w:cs="Times New Roman"/>
                <w:sz w:val="28"/>
                <w:szCs w:val="28"/>
                <w:vertAlign w:val="baseline"/>
                <w:lang w:val="en-US" w:eastAsia="zh-CN"/>
              </w:rPr>
              <w:t>需求</w:t>
            </w:r>
          </w:p>
          <w:p w14:paraId="36C00402">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本次需推介的产品为医务管理系统，主要需包含核心制度管理、医疗质量管控、临床</w:t>
            </w:r>
            <w:r>
              <w:rPr>
                <w:rFonts w:hint="eastAsia" w:ascii="Times New Roman" w:hAnsi="Times New Roman" w:eastAsia="方正仿宋_GBK" w:cs="Times New Roman"/>
                <w:kern w:val="0"/>
                <w:sz w:val="28"/>
                <w:szCs w:val="28"/>
                <w:highlight w:val="none"/>
                <w:vertAlign w:val="baseline"/>
                <w:lang w:val="en-US" w:eastAsia="zh-CN" w:bidi="ar"/>
              </w:rPr>
              <w:t>路径与单病种管理、</w:t>
            </w:r>
            <w:r>
              <w:rPr>
                <w:rFonts w:hint="eastAsia" w:ascii="Times New Roman" w:hAnsi="Times New Roman" w:eastAsia="方正仿宋_GBK" w:cs="Times New Roman"/>
                <w:color w:val="000000" w:themeColor="text1"/>
                <w:kern w:val="0"/>
                <w:sz w:val="28"/>
                <w:szCs w:val="28"/>
                <w:highlight w:val="none"/>
                <w:vertAlign w:val="baseline"/>
                <w:lang w:val="en-US" w:eastAsia="zh-CN" w:bidi="ar"/>
                <w14:textFill>
                  <w14:solidFill>
                    <w14:schemeClr w14:val="tx1"/>
                  </w14:solidFill>
                </w14:textFill>
              </w:rPr>
              <w:t>处方权授权、</w:t>
            </w:r>
            <w:r>
              <w:rPr>
                <w:rFonts w:hint="eastAsia" w:ascii="Times New Roman" w:hAnsi="Times New Roman" w:eastAsia="方正仿宋_GBK" w:cs="Times New Roman"/>
                <w:kern w:val="0"/>
                <w:sz w:val="28"/>
                <w:szCs w:val="28"/>
                <w:highlight w:val="none"/>
                <w:vertAlign w:val="baseline"/>
                <w:lang w:val="en-US" w:eastAsia="zh-CN" w:bidi="ar"/>
              </w:rPr>
              <w:t>医疗技术、</w:t>
            </w:r>
            <w:r>
              <w:rPr>
                <w:rFonts w:hint="eastAsia" w:ascii="Times New Roman" w:hAnsi="Times New Roman" w:eastAsia="方正仿宋_GBK" w:cs="Times New Roman"/>
                <w:kern w:val="0"/>
                <w:sz w:val="28"/>
                <w:szCs w:val="28"/>
                <w:vertAlign w:val="baseline"/>
                <w:lang w:val="en-US" w:eastAsia="zh-CN" w:bidi="ar"/>
              </w:rPr>
              <w:t>医患纠纷管理等核心模块，依托智能化、信息化技术实现全院医疗业务全流程、全场景规范化管理，严控医疗质量安全风险、规范医护执业行为、落实医疗管理闭环管控。旨在通过信息化手段实现全院医务管理工作的规范化、精细化与智能化，全面提升医疗服务质量与安全水平。</w:t>
            </w:r>
          </w:p>
          <w:p w14:paraId="404779E2">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（一）基本要求</w:t>
            </w:r>
          </w:p>
          <w:p w14:paraId="6195C324">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1.覆盖医务部、临床科室、医技科室等全院相关终端，支撑资质审核、质控督查、纠纷处置与闭环处理等全场景操作。需与HIS、EMR、LIS、PACS、手麻系统等院内业务系统深度打通，实现医疗数据的全量对接、自动抓取、实时同步共享，并保障数据流转稳定。</w:t>
            </w:r>
          </w:p>
          <w:p w14:paraId="48F1D772">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2.内置国家及市级医疗质量安全核心制度、医疗质量管理与控制指标、执业管理规范、手术分级管理规范、临床路径模板、单病种管理规范等标准体系，支持各类医疗政策、行业规范及院内管理制度的数字化落地与一键更新。同时，系统应具备高度的灵活性，允许医务管理部门根据医院实际情况，自定义各类质控指标、评估表单及管理流程。</w:t>
            </w:r>
          </w:p>
          <w:p w14:paraId="5D7AEAB4">
            <w:pPr>
              <w:keepNext w:val="0"/>
              <w:keepLines w:val="0"/>
              <w:pageBreakBefore w:val="0"/>
              <w:widowControl/>
              <w:numPr>
                <w:ilvl w:val="0"/>
                <w:numId w:val="1"/>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覆盖诊疗行为规范、三级查房、手术授权、医患沟通、院级督查等全维度管理规则；支持规则分级、分科室、分诊疗场景精准适配，区分门诊、住院、急诊、手术室、医技科室差异化管理标准。</w:t>
            </w:r>
          </w:p>
          <w:p w14:paraId="1BE96031">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（二）核心制度管理模块</w:t>
            </w:r>
          </w:p>
          <w:p w14:paraId="0EFA014D">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1. 制度数字化发布与学习：支持医院医疗质量安全核心制度进行数字化录入、发布与版本管理。支持制度要点的智能提取与精准推送，方便临床医务人员在线学习、查询与考核。</w:t>
            </w:r>
          </w:p>
          <w:p w14:paraId="01FDF725">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2.制度执行过程管控：系统应将核心制度要求嵌入临床业务流程关键节点，实现制度执行的过程留痕与智能提醒。例如：三级查房制度，可记录查房人员、时间、层级，对查房记录书写超时等问题实现自动预警；会诊制度，实现会诊申请、指派、意见反馈全流程在线化与时限监控；危急值制度，实现各板块危急值统一联动，按时按需分类展示危急值项目数及明细、超时未处理危急值等；实现危急值推送、处置反馈及超时预警的闭环管理。实现信息化交班，实时展示各科室患者数据，突出危重、手术、新入院等重点患者，设置重点患者红标预警，与电子病历、医嘱、检验检查等系统互联互通，自动抓取患者核心信息。手术安全核查，与手麻系统对接，对关键节点的核查过程进行监督，实现过程留痕和执行管控。</w:t>
            </w:r>
          </w:p>
          <w:p w14:paraId="2724C6DE">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3.制度落实考核评价：系统支持医务管理部门制定针对各核心制度的考核标准与评分量表，支持医务部自制表单，临床科室上传自查或执行反馈情况。可根据系统留痕数据自动生成科室及个人制度执行评分，如：查房规范率、会诊及时率、危急值处置及时率、术前讨论完成率、死亡病例讨论及时率等。支持自动生成全院及各科室的核心制度执行情况分析报告，为院科两级管理提供决策依据。</w:t>
            </w:r>
          </w:p>
          <w:p w14:paraId="5B13811E">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（三）医疗质量管控模块</w:t>
            </w:r>
          </w:p>
          <w:p w14:paraId="32D9F913">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 xml:space="preserve"> 1. 专项质控管理 </w:t>
            </w:r>
            <w:bookmarkStart w:id="0" w:name="_GoBack"/>
            <w:bookmarkEnd w:id="0"/>
          </w:p>
          <w:p w14:paraId="05D9AD43">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支持医务管理部门针对特定质量主题开展专项质控活动。系统应提供灵活的专项模板配置工具，可快速建立如VTE防治管理、重复检查、重复检验、知情同意书签署督查等专项工作。系统支持智能或手动分配点评/检查任务至质控专家，质控人员在线完成评分、填写缺陷描述、判定问题等级，系统自动汇总质控结果，生成科室与个人专项质控报告。支持按专项维度统计分析全院数据，追踪问题整改落实情况，形成专项质控从计划、执行、检查到改进的完整PDCA闭环。</w:t>
            </w:r>
          </w:p>
          <w:p w14:paraId="4110A2B2">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2.病区组长负责制管理：系统支持以科室质控组长为核心的责任制管理模式。能支持各诊疗组长分组、各诊疗组工作量（门诊、住院、手术、操作等关键业务量提取），能对诊疗组长按标准进行评价打分、绩效核算，实现存在问题反馈，整改措施反馈，各科室质控组长可通过系统查看并认领本科室的质控任务与待办事项，实现诊疗组工作的自主管理与持续改进。</w:t>
            </w:r>
          </w:p>
          <w:p w14:paraId="196B0240">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 xml:space="preserve">（四）临床路径与单病种管理模块 </w:t>
            </w:r>
          </w:p>
          <w:p w14:paraId="11FDDD7F">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default"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 xml:space="preserve"> 1. 临床路径管理</w:t>
            </w:r>
          </w:p>
          <w:p w14:paraId="52BB7255">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 xml:space="preserve">（1）路径制定与优化：支持临床路径的电子化制定、发布与优化。系统可自动监测路径执行过程中的变异情况，记录变异原因，为路径的科学修订提供基础。 </w:t>
            </w:r>
          </w:p>
          <w:p w14:paraId="1AA13D71">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 xml:space="preserve">（2）智能入径与执行监控：在医生下达诊断或手术医嘱时，系统根据入径标准智能提示或推荐入径。入径后，系统实时监控路径执行进度，对偏离路径的变异节点自动记录变异原因（如病情变化、患者因素、系统原因等），并向管床医生及科室质控组长推送提醒。同时，系统自动采集路径执行过程中的费用明细、住院天数、药品消耗等数据。 </w:t>
            </w:r>
          </w:p>
          <w:p w14:paraId="1795D293">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3）路径效果评估：对临床路径的入径率、完成率、变异率、平均住院日、费用结构（总费用、药品费用、耗材费用等）、并发症发生率等关键指标进行多维度统计分析，支持路径间横向对比及同一路径不同时期纵向对比，为路径的科学修订提供基础。</w:t>
            </w:r>
          </w:p>
          <w:p w14:paraId="56405547">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2.单病种管理</w:t>
            </w:r>
          </w:p>
          <w:p w14:paraId="02B12737">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1）模板配置与数据自动采集：系统应内置国家及市级要求的单病种质量管理与控制病种，并支持医院自定义扩展。每个病种配置独立的数据采集模板，涵盖患者基本信息、诊疗信息、过程质量指标、结局指标等核心字段。系统根据上报要求从HIS、EMR、LIS、PACS等业务系统自动抓取并填充数据项，对无法自动获取的项提供结构化录入界面，大幅减少手工填报工作量。</w:t>
            </w:r>
          </w:p>
          <w:p w14:paraId="6A4DCE9A">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2）任务闭环与智能预警：支持待上报病例的自动筛查与按科室、病种生成任务清单，设置上报时限，临近超时自动催办。支持生成符合国家及市级监测平台接口规范的数据文件，实现一键导出或自动上报。在诊疗过程中实时监测关键质量节点，对不符合质控标准的诊疗行为（如关键检查缺失、治疗时机超时等）自动预警推送至责任医生及科室质控组长，并纳入科室质控考核。</w:t>
            </w:r>
          </w:p>
          <w:p w14:paraId="4B0D3D9F">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3）审核追溯与统计分析：支持医务部对上报数据进行在线审核，不通过的退回临床补充修正，实现“采集—填报—审核—上报—追溯”全流程闭环管理，完整保留历史版本及操作日志。支持按病种、科室、时间等多维度统计病例数、上报率、上报及时率、死亡率、平均住院日、费用结构等指标，自动生成质量分析报告，并支持与同级医院或国家/市级质控中心标准数据进行对标分析。</w:t>
            </w:r>
          </w:p>
          <w:p w14:paraId="0D7B4004">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（五）处方权授权管理模块</w:t>
            </w:r>
          </w:p>
          <w:p w14:paraId="6D9E4736">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构建执业医师处方权授权管理体系，涵盖医师基本信息、职称、普通处方权以及抗菌药物、精麻药品、抗肿瘤药物、糖皮质激素药物等分级分类处方权限的授权与管理。支持处方权的授予、暂停、撤销、等级调整管理，支持与HIS系统深度对接，处方权变更后实时同步至HIS系统，实现医师开方权限的即时校验与动态管控。</w:t>
            </w:r>
          </w:p>
          <w:p w14:paraId="36411D23">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 xml:space="preserve">（六）技术管理模块 </w:t>
            </w:r>
          </w:p>
          <w:p w14:paraId="21E5A464">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 xml:space="preserve">1. 医疗技术目录管理：建立全院统一的医疗技术电子目录库，涵盖国家级、省级限制类技术及院内常规技术，支持技术分类、分级管理，完整记录技术名称、类别、技术级别、首例开展时间、开展例数、开展效果等、更新日期、备案状态等关键信息，实现技术目录的动态维护与可视化呈现。 </w:t>
            </w:r>
          </w:p>
          <w:p w14:paraId="02C2FDDD">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2.技术授权：支持医院开展的所有技术授权到每个科室，每个医师。技术授权实现电子化申请、审批、授权。能从多维度展示授权情况，如筛选科室、筛选医师、筛选技术等。每个技术逐项授权，授权开展的技术关键指标要提取展示，包含授权时间、名称、级别、类别，每个授权技术开展的首例日期、开展的例数、效果、并发症合并症等。</w:t>
            </w:r>
          </w:p>
          <w:p w14:paraId="1AB434E1">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3. 技术准入与授权审批：支持新技术、新项目的线上申报、科室初审、医务部复核、分配专家预审(盲审)、技术委员会、伦理审查、立项、授权、总结、转常规的全流程闭环管理。系统可关联医师档案，实现对技术操作人员的资质校验与授权管理，确保技术准入与人员资质联动，防范违规越权操作风险。对每一项新技术新项目建立档案管理，开展的明细要关联、包括首例开展时间，支持技术负责人定期总结、职能部门定期评价开展情况。</w:t>
            </w:r>
          </w:p>
          <w:p w14:paraId="1ED05989">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4.建立手术医师技术档案：包括但不限于：医师执业证、职称证、资格证上传，医师关于开展技术的进修培训结业者等。开展的所有技术授权情况、开展技术的年限、数量、效果、质量与安全指标完成情况（非计划手术、非计划重返、并发症、不良时间、纠纷等)，科室、医院对手术医师年度考核结果评价等，保障档案可追踪查询。</w:t>
            </w:r>
          </w:p>
          <w:p w14:paraId="6F9FA12F">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5.限制类技术管理：限制类技术所有备案资料上传、每个限制类技术开展的需要三甲检测的指标做在里面实施监管并分析，限制类技术上报重庆市卫健委系统的情况能关联，能判断该技术上报了多少例，或者把上报的接口做到这里面。科室完善定期总结分析报告、职能部分审核、职能不能完善定期总结分析报告等。总结分析报告均能支持下载导出。数据能实现可视化呈现。</w:t>
            </w:r>
          </w:p>
          <w:p w14:paraId="6975B4DE">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 xml:space="preserve">（七）投诉纠纷管理模块 </w:t>
            </w:r>
          </w:p>
          <w:p w14:paraId="09F49C8C">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color w:val="auto"/>
                <w:kern w:val="0"/>
                <w:sz w:val="28"/>
                <w:szCs w:val="28"/>
                <w:highlight w:val="none"/>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1.投诉登记与受理：支持多端口（来电、来访、信访、12345热线（实现导入识别信息）、书记院长信箱（直接关联微信公众号上的该数据）、邮件（直接关联医院邮箱）等）投诉信息的统一归集与电子化登记，涵盖投诉人信息、被投诉科室/个人、投诉事由、诉求等核心要素。支持投诉工单的自动编号与分类，实现投诉事项的统一受理与分派。 支持上传附件。录入信息时，支持与病历系统对接，输入患者门诊号或住院号，系统能自动提取患者基本信息、就诊记录、诊断等，减少录入工作量和错误率。</w:t>
            </w:r>
          </w:p>
          <w:p w14:paraId="0CB426AC">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color w:val="auto"/>
                <w:kern w:val="0"/>
                <w:sz w:val="28"/>
                <w:szCs w:val="28"/>
                <w:highlight w:val="none"/>
                <w:vertAlign w:val="baseline"/>
                <w:lang w:val="en-US" w:eastAsia="zh-CN" w:bidi="ar"/>
              </w:rPr>
              <w:t>2. 调查处理与流转：内置投诉事项的调查</w:t>
            </w:r>
            <w:r>
              <w:rPr>
                <w:rFonts w:hint="eastAsia" w:ascii="Times New Roman" w:hAnsi="Times New Roman" w:eastAsia="方正仿宋_GBK" w:cs="Times New Roman"/>
                <w:kern w:val="0"/>
                <w:sz w:val="28"/>
                <w:szCs w:val="28"/>
                <w:vertAlign w:val="baseline"/>
                <w:lang w:val="en-US" w:eastAsia="zh-CN" w:bidi="ar"/>
              </w:rPr>
              <w:t>、核实、处理、反馈、整改（支持责任科室上传整改佐证资料作为附件进行上传）标准化闭环流程。支持医务部在线将投诉工单分派至相关科室，科室在规定时限内提交调查情况与初步处理意见（责任科室自行化解矛盾的，可提交完结申请，由医务部审核通过完结；也可由医务部手工点击完结），投诉事项所属职能部门审核确认后，将处理结果反馈至投诉人，医务部处理完结后将处理情况反馈责任科室及相应职能部门，形成全流程线上留痕。</w:t>
            </w:r>
          </w:p>
          <w:p w14:paraId="3AE6A40F">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3. 归档与统计分析：自动汇总全院投诉纠纷数据，支持按投诉类型、被投诉科室/个人、投诉问题、处理状态、发生时间等多维度进行统计分析，自动生成月度投诉分析报告（可自定义选择分析的时间段），识别投诉高发科室与高频问题类型，为医院持续改进服务质量提供数据支撑。处理完结的工单可一键生成规范化的电子卷宗并导出，便于存档。</w:t>
            </w:r>
          </w:p>
          <w:p w14:paraId="60EB2399">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4. 持续改进联动：支持将典型投诉案例、高频科室、投诉问题投诉分析自动反馈相关职能科室督促改进，实现“投诉—分析—改进—评估”的闭环管理，推动医院服务质量持续提升。</w:t>
            </w:r>
          </w:p>
          <w:p w14:paraId="2E0D5D14">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5.系统对临近超时或超时未处理工单自动预警提醒。 风险预警：系统能自动分析，对特定科室高频投诉或某类严重问题发出预警。重复投诉/升级预警：对同一投诉人的多次来电或同一事件的持续投诉进行标记和升级提醒；对高频投诉人员设置黑名单库，新增投诉时进行自动提示。</w:t>
            </w:r>
          </w:p>
          <w:p w14:paraId="5F1E1A43">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6.支持移动端处置，用于即时接收提醒、快速处理、查看工单进度等；支持在移动端拍照、录音，作为附件直接上传至工单-。</w:t>
            </w:r>
          </w:p>
          <w:p w14:paraId="58736829">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7.支持投诉结果反馈与评价：处理结束后，系统能通过短信自动通知投诉人处理结果，并邀请其进行评价，评价结果可纳入统计。此外，对于无法电话联系处理的投诉人，支持通过系统将处理结果通过短信形式反馈至其手机。</w:t>
            </w:r>
          </w:p>
          <w:p w14:paraId="73080E41">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二、性能要求</w:t>
            </w:r>
          </w:p>
          <w:p w14:paraId="25B407F1">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 xml:space="preserve"> （一）响应速度：系统需具备高并发处理能力，能够满足全院临床和管理端同时在线的业务需求，确保各项操作响应迅速、稳定可靠，不影响正常的医疗工作流程。</w:t>
            </w:r>
          </w:p>
          <w:p w14:paraId="46BE6249">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（二）兼容性：采用开放性架构设计，支持各类标准化接口，能够与医院现有的各类业务系统实现无缝对接，无需对现有系统进行大规模改造。</w:t>
            </w:r>
          </w:p>
          <w:p w14:paraId="5C4FEA0E">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 xml:space="preserve">（三）扩展性：系统架构需具备良好的扩展性，支持未来医疗管理政策变化、新业务模块（如DRG/DIP管理、等级评审支撑等）的快速部署和灵活扩展。 </w:t>
            </w:r>
          </w:p>
          <w:p w14:paraId="6EB64993">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imes New Roman" w:hAnsi="Times New Roman" w:eastAsia="方正仿宋_GBK" w:cs="Times New Roman"/>
                <w:kern w:val="0"/>
                <w:sz w:val="28"/>
                <w:szCs w:val="28"/>
                <w:vertAlign w:val="baseline"/>
                <w:lang w:val="en-US" w:eastAsia="zh-CN" w:bidi="ar"/>
              </w:rPr>
            </w:pPr>
            <w:r>
              <w:rPr>
                <w:rFonts w:hint="eastAsia" w:ascii="Times New Roman" w:hAnsi="Times New Roman" w:eastAsia="方正仿宋_GBK" w:cs="Times New Roman"/>
                <w:kern w:val="0"/>
                <w:sz w:val="28"/>
                <w:szCs w:val="28"/>
                <w:vertAlign w:val="baseline"/>
                <w:lang w:val="en-US" w:eastAsia="zh-CN" w:bidi="ar"/>
              </w:rPr>
              <w:t>（四）安全性：具备完善的数据安全机制，包括严格的用户权限管理、角色分级控制、数据加密传输与存储。所有系统操作、数据访问、审核记录均需全程留痕、可追溯。支持数据的自动定时备份与容灾恢复，确保核心医疗管理数据的安全、完整与可用。</w:t>
            </w:r>
          </w:p>
          <w:p w14:paraId="22790DB8">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三、推介准备</w:t>
            </w:r>
          </w:p>
          <w:p w14:paraId="6BD6A16B">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（一）推介PPT（包含系统介绍、在用医院、售后运维保障、优劣势等）；</w:t>
            </w:r>
          </w:p>
          <w:p w14:paraId="457688E1">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rPr>
                <w:rFonts w:hint="default"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（二）系统操作演示视频，如支持也可现场演示。</w:t>
            </w:r>
          </w:p>
          <w:p w14:paraId="46C32A76">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sz w:val="28"/>
                <w:szCs w:val="28"/>
              </w:rPr>
            </w:pPr>
          </w:p>
          <w:p w14:paraId="45FDF76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lang w:val="en-US" w:eastAsia="zh-CN"/>
              </w:rPr>
              <w:t>注：</w:t>
            </w:r>
            <w:r>
              <w:rPr>
                <w:rFonts w:hint="default" w:ascii="Times New Roman" w:hAnsi="Times New Roman" w:eastAsia="方正仿宋_GBK" w:cs="Times New Roman"/>
                <w:kern w:val="0"/>
                <w:sz w:val="28"/>
                <w:szCs w:val="28"/>
                <w:lang w:val="en-US" w:eastAsia="zh-CN" w:bidi="ar"/>
              </w:rPr>
              <w:t>若产品为医疗设备/试剂/耗材，需在用途说明中补充是否涉及无菌存储、强制检定、注册证要求等相关特殊说明；服务类产品需补充服务周期、服务标准等核心要求。</w:t>
            </w:r>
          </w:p>
        </w:tc>
      </w:tr>
    </w:tbl>
    <w:p w14:paraId="708E5A16"/>
    <w:p w14:paraId="0DC8B098"/>
    <w:p w14:paraId="768B9BCA"/>
    <w:p w14:paraId="76D780B8"/>
    <w:p w14:paraId="4DA15926"/>
    <w:p w14:paraId="2993A017">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p>
    <w:p w14:paraId="5D923303">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p>
    <w:p w14:paraId="512436C8">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p>
    <w:p w14:paraId="5E9B788E">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p>
    <w:p w14:paraId="1FE67841">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p>
    <w:p w14:paraId="326CAA9A">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p>
    <w:p w14:paraId="787BF51E">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p>
    <w:p w14:paraId="4822CF66">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p>
    <w:p w14:paraId="0D11856B">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p>
    <w:p w14:paraId="677B8083">
      <w:pPr>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r>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br w:type="page"/>
      </w:r>
    </w:p>
    <w:p w14:paraId="7493BF1A">
      <w:pPr>
        <w:keepNext w:val="0"/>
        <w:keepLines w:val="0"/>
        <w:pageBreakBefore w:val="0"/>
        <w:widowControl/>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pPr>
      <w:r>
        <w:rPr>
          <w:rFonts w:hint="eastAsia" w:ascii="方正小标宋_GBK" w:hAnsi="方正小标宋_GBK" w:eastAsia="方正小标宋_GBK" w:cs="方正小标宋_GBK"/>
          <w:i w:val="0"/>
          <w:iCs w:val="0"/>
          <w:caps w:val="0"/>
          <w:snapToGrid w:val="0"/>
          <w:color w:val="333333"/>
          <w:spacing w:val="0"/>
          <w:kern w:val="21"/>
          <w:sz w:val="44"/>
          <w:szCs w:val="44"/>
          <w:shd w:val="clear" w:fill="FFFFFF"/>
          <w:lang w:val="en-US" w:eastAsia="zh-CN"/>
        </w:rPr>
        <w:t>推介参与公司资证材料要求（资质等）</w:t>
      </w:r>
    </w:p>
    <w:p w14:paraId="5FC24885">
      <w:pPr>
        <w:rPr>
          <w:rFonts w:hint="default" w:ascii="Times New Roman" w:hAnsi="Times New Roman" w:eastAsia="方正仿宋_GBK" w:cs="Times New Roman"/>
          <w:i w:val="0"/>
          <w:iCs w:val="0"/>
          <w:caps w:val="0"/>
          <w:snapToGrid w:val="0"/>
          <w:color w:val="333333"/>
          <w:spacing w:val="0"/>
          <w:kern w:val="21"/>
          <w:sz w:val="32"/>
          <w:szCs w:val="32"/>
          <w:shd w:val="clear" w:fill="FFFFFF"/>
        </w:rPr>
      </w:pPr>
    </w:p>
    <w:p w14:paraId="6F32390D">
      <w:pPr>
        <w:keepNext w:val="0"/>
        <w:keepLines w:val="0"/>
        <w:pageBreakBefore w:val="0"/>
        <w:widowControl/>
        <w:kinsoku/>
        <w:wordWrap/>
        <w:overflowPunct/>
        <w:topLinePunct w:val="0"/>
        <w:autoSpaceDE/>
        <w:autoSpaceDN/>
        <w:bidi w:val="0"/>
        <w:adjustRightInd/>
        <w:snapToGrid/>
        <w:ind w:firstLine="635"/>
        <w:jc w:val="both"/>
        <w:textAlignment w:val="auto"/>
        <w:rPr>
          <w:rFonts w:hint="default" w:ascii="Times New Roman" w:hAnsi="Times New Roman" w:eastAsia="方正仿宋_GBK" w:cs="Times New Roman"/>
          <w:i w:val="0"/>
          <w:iCs w:val="0"/>
          <w:caps w:val="0"/>
          <w:snapToGrid w:val="0"/>
          <w:color w:val="333333"/>
          <w:spacing w:val="0"/>
          <w:kern w:val="21"/>
          <w:sz w:val="32"/>
          <w:szCs w:val="32"/>
          <w:highlight w:val="yellow"/>
          <w:shd w:val="clear" w:fill="FFFFFF"/>
        </w:rPr>
      </w:pPr>
      <w:r>
        <w:rPr>
          <w:rFonts w:hint="default" w:ascii="Times New Roman" w:hAnsi="Times New Roman" w:eastAsia="方正仿宋_GBK" w:cs="Times New Roman"/>
          <w:i w:val="0"/>
          <w:iCs w:val="0"/>
          <w:caps w:val="0"/>
          <w:snapToGrid w:val="0"/>
          <w:color w:val="333333"/>
          <w:spacing w:val="0"/>
          <w:kern w:val="21"/>
          <w:sz w:val="32"/>
          <w:szCs w:val="32"/>
          <w:highlight w:val="yellow"/>
          <w:shd w:val="clear" w:fill="FFFFFF"/>
        </w:rPr>
        <w:t>1.企业法定代表人签字或盖章的授权委托书；</w:t>
      </w:r>
    </w:p>
    <w:p w14:paraId="5454D221">
      <w:pPr>
        <w:keepNext w:val="0"/>
        <w:keepLines w:val="0"/>
        <w:pageBreakBefore w:val="0"/>
        <w:widowControl/>
        <w:kinsoku/>
        <w:wordWrap/>
        <w:overflowPunct/>
        <w:topLinePunct w:val="0"/>
        <w:autoSpaceDE/>
        <w:autoSpaceDN/>
        <w:bidi w:val="0"/>
        <w:adjustRightInd/>
        <w:snapToGrid/>
        <w:ind w:firstLine="635"/>
        <w:jc w:val="both"/>
        <w:textAlignment w:val="auto"/>
        <w:rPr>
          <w:rFonts w:hint="default" w:ascii="Times New Roman" w:hAnsi="Times New Roman" w:eastAsia="方正仿宋_GBK" w:cs="Times New Roman"/>
          <w:i w:val="0"/>
          <w:iCs w:val="0"/>
          <w:caps w:val="0"/>
          <w:snapToGrid w:val="0"/>
          <w:color w:val="333333"/>
          <w:spacing w:val="0"/>
          <w:kern w:val="21"/>
          <w:sz w:val="32"/>
          <w:szCs w:val="32"/>
          <w:highlight w:val="yellow"/>
          <w:shd w:val="clear" w:fill="FFFFFF"/>
        </w:rPr>
      </w:pPr>
      <w:r>
        <w:rPr>
          <w:rFonts w:hint="default" w:ascii="Times New Roman" w:hAnsi="Times New Roman" w:eastAsia="方正仿宋_GBK" w:cs="Times New Roman"/>
          <w:i w:val="0"/>
          <w:iCs w:val="0"/>
          <w:caps w:val="0"/>
          <w:snapToGrid w:val="0"/>
          <w:color w:val="333333"/>
          <w:spacing w:val="0"/>
          <w:kern w:val="21"/>
          <w:sz w:val="32"/>
          <w:szCs w:val="32"/>
          <w:highlight w:val="yellow"/>
          <w:shd w:val="clear" w:fill="FFFFFF"/>
        </w:rPr>
        <w:t>2.医药生产经营企业代表身份证复印件；</w:t>
      </w:r>
    </w:p>
    <w:p w14:paraId="53274C45">
      <w:pPr>
        <w:keepNext w:val="0"/>
        <w:keepLines w:val="0"/>
        <w:pageBreakBefore w:val="0"/>
        <w:widowControl/>
        <w:kinsoku/>
        <w:wordWrap/>
        <w:overflowPunct/>
        <w:topLinePunct w:val="0"/>
        <w:autoSpaceDE/>
        <w:autoSpaceDN/>
        <w:bidi w:val="0"/>
        <w:adjustRightInd/>
        <w:snapToGrid/>
        <w:ind w:firstLine="635"/>
        <w:jc w:val="both"/>
        <w:textAlignment w:val="auto"/>
        <w:rPr>
          <w:rFonts w:hint="default" w:ascii="Times New Roman" w:hAnsi="Times New Roman" w:eastAsia="方正仿宋_GBK" w:cs="Times New Roman"/>
          <w:i w:val="0"/>
          <w:iCs w:val="0"/>
          <w:caps w:val="0"/>
          <w:snapToGrid w:val="0"/>
          <w:color w:val="333333"/>
          <w:spacing w:val="0"/>
          <w:kern w:val="21"/>
          <w:sz w:val="32"/>
          <w:szCs w:val="32"/>
          <w:highlight w:val="yellow"/>
          <w:shd w:val="clear" w:fill="FFFFFF"/>
        </w:rPr>
      </w:pPr>
      <w:r>
        <w:rPr>
          <w:rFonts w:hint="default" w:ascii="Times New Roman" w:hAnsi="Times New Roman" w:eastAsia="方正仿宋_GBK" w:cs="Times New Roman"/>
          <w:i w:val="0"/>
          <w:iCs w:val="0"/>
          <w:caps w:val="0"/>
          <w:snapToGrid w:val="0"/>
          <w:color w:val="333333"/>
          <w:spacing w:val="0"/>
          <w:kern w:val="21"/>
          <w:sz w:val="32"/>
          <w:szCs w:val="32"/>
          <w:highlight w:val="yellow"/>
          <w:shd w:val="clear" w:fill="FFFFFF"/>
        </w:rPr>
        <w:t>3.加盖企业公章的廉洁承诺书；</w:t>
      </w:r>
    </w:p>
    <w:p w14:paraId="759CD247">
      <w:pPr>
        <w:keepNext w:val="0"/>
        <w:keepLines w:val="0"/>
        <w:pageBreakBefore w:val="0"/>
        <w:widowControl/>
        <w:kinsoku/>
        <w:wordWrap/>
        <w:overflowPunct/>
        <w:topLinePunct w:val="0"/>
        <w:autoSpaceDE/>
        <w:autoSpaceDN/>
        <w:bidi w:val="0"/>
        <w:adjustRightInd/>
        <w:snapToGrid/>
        <w:ind w:firstLine="635"/>
        <w:jc w:val="both"/>
        <w:textAlignment w:val="auto"/>
        <w:rPr>
          <w:rFonts w:hint="default" w:ascii="Times New Roman" w:hAnsi="Times New Roman" w:eastAsia="方正仿宋_GBK" w:cs="Times New Roman"/>
          <w:i w:val="0"/>
          <w:iCs w:val="0"/>
          <w:caps w:val="0"/>
          <w:snapToGrid w:val="0"/>
          <w:color w:val="333333"/>
          <w:spacing w:val="0"/>
          <w:kern w:val="21"/>
          <w:sz w:val="32"/>
          <w:szCs w:val="32"/>
          <w:shd w:val="clear" w:fill="FFFFFF"/>
        </w:rPr>
      </w:pPr>
      <w:r>
        <w:rPr>
          <w:rFonts w:hint="default" w:ascii="Times New Roman" w:hAnsi="Times New Roman" w:eastAsia="方正仿宋_GBK" w:cs="Times New Roman"/>
          <w:i w:val="0"/>
          <w:iCs w:val="0"/>
          <w:caps w:val="0"/>
          <w:snapToGrid w:val="0"/>
          <w:color w:val="333333"/>
          <w:spacing w:val="0"/>
          <w:kern w:val="21"/>
          <w:sz w:val="32"/>
          <w:szCs w:val="32"/>
          <w:shd w:val="clear" w:fill="FFFFFF"/>
        </w:rPr>
        <w:t>4.介绍 PPT</w:t>
      </w:r>
      <w:r>
        <w:rPr>
          <w:rFonts w:hint="eastAsia" w:ascii="Times New Roman" w:hAnsi="Times New Roman" w:eastAsia="方正仿宋_GBK" w:cs="Times New Roman"/>
          <w:i w:val="0"/>
          <w:iCs w:val="0"/>
          <w:caps w:val="0"/>
          <w:snapToGrid w:val="0"/>
          <w:color w:val="333333"/>
          <w:spacing w:val="0"/>
          <w:kern w:val="21"/>
          <w:sz w:val="32"/>
          <w:szCs w:val="32"/>
          <w:shd w:val="clear" w:fill="FFFFFF"/>
          <w:lang w:eastAsia="zh-CN"/>
        </w:rPr>
        <w:t>、</w:t>
      </w:r>
      <w:r>
        <w:rPr>
          <w:rFonts w:hint="eastAsia" w:ascii="Times New Roman" w:hAnsi="Times New Roman" w:eastAsia="方正仿宋_GBK" w:cs="Times New Roman"/>
          <w:i w:val="0"/>
          <w:iCs w:val="0"/>
          <w:caps w:val="0"/>
          <w:snapToGrid w:val="0"/>
          <w:color w:val="333333"/>
          <w:spacing w:val="0"/>
          <w:kern w:val="21"/>
          <w:sz w:val="32"/>
          <w:szCs w:val="32"/>
          <w:shd w:val="clear" w:fill="FFFFFF"/>
          <w:lang w:val="en-US" w:eastAsia="zh-CN"/>
        </w:rPr>
        <w:t>演示视频</w:t>
      </w:r>
      <w:r>
        <w:rPr>
          <w:rFonts w:hint="default" w:ascii="Times New Roman" w:hAnsi="Times New Roman" w:eastAsia="方正仿宋_GBK" w:cs="Times New Roman"/>
          <w:i w:val="0"/>
          <w:iCs w:val="0"/>
          <w:caps w:val="0"/>
          <w:snapToGrid w:val="0"/>
          <w:color w:val="333333"/>
          <w:spacing w:val="0"/>
          <w:kern w:val="21"/>
          <w:sz w:val="32"/>
          <w:szCs w:val="32"/>
          <w:shd w:val="clear" w:fill="FFFFFF"/>
        </w:rPr>
        <w:t>；</w:t>
      </w:r>
    </w:p>
    <w:p w14:paraId="7EE811FA">
      <w:pPr>
        <w:keepNext w:val="0"/>
        <w:keepLines w:val="0"/>
        <w:pageBreakBefore w:val="0"/>
        <w:widowControl/>
        <w:kinsoku/>
        <w:wordWrap/>
        <w:overflowPunct/>
        <w:topLinePunct w:val="0"/>
        <w:autoSpaceDE/>
        <w:autoSpaceDN/>
        <w:bidi w:val="0"/>
        <w:adjustRightInd/>
        <w:snapToGrid/>
        <w:ind w:firstLine="635"/>
        <w:jc w:val="both"/>
        <w:textAlignment w:val="auto"/>
        <w:rPr>
          <w:rFonts w:hint="default" w:ascii="Times New Roman" w:hAnsi="Times New Roman" w:eastAsia="方正仿宋_GBK" w:cs="Times New Roman"/>
          <w:i w:val="0"/>
          <w:iCs w:val="0"/>
          <w:caps w:val="0"/>
          <w:snapToGrid w:val="0"/>
          <w:color w:val="333333"/>
          <w:spacing w:val="0"/>
          <w:kern w:val="21"/>
          <w:sz w:val="32"/>
          <w:szCs w:val="32"/>
          <w:shd w:val="clear" w:fill="FFFFFF"/>
        </w:rPr>
      </w:pPr>
      <w:r>
        <w:rPr>
          <w:rFonts w:hint="eastAsia" w:ascii="Times New Roman" w:hAnsi="Times New Roman" w:eastAsia="方正仿宋_GBK" w:cs="Times New Roman"/>
          <w:i w:val="0"/>
          <w:iCs w:val="0"/>
          <w:caps w:val="0"/>
          <w:snapToGrid w:val="0"/>
          <w:color w:val="333333"/>
          <w:spacing w:val="0"/>
          <w:kern w:val="21"/>
          <w:sz w:val="32"/>
          <w:szCs w:val="32"/>
          <w:shd w:val="clear" w:fill="FFFFFF"/>
          <w:lang w:val="en-US" w:eastAsia="zh-CN"/>
        </w:rPr>
        <w:t>5</w:t>
      </w:r>
      <w:r>
        <w:rPr>
          <w:rFonts w:hint="default" w:ascii="Times New Roman" w:hAnsi="Times New Roman" w:eastAsia="方正仿宋_GBK" w:cs="Times New Roman"/>
          <w:i w:val="0"/>
          <w:iCs w:val="0"/>
          <w:caps w:val="0"/>
          <w:snapToGrid w:val="0"/>
          <w:color w:val="333333"/>
          <w:spacing w:val="0"/>
          <w:kern w:val="21"/>
          <w:sz w:val="32"/>
          <w:szCs w:val="32"/>
          <w:shd w:val="clear" w:fill="FFFFFF"/>
        </w:rPr>
        <w:t>.其他的相关产品、服务详细资料；</w:t>
      </w:r>
    </w:p>
    <w:p w14:paraId="122BBFFE">
      <w:pPr>
        <w:keepNext w:val="0"/>
        <w:keepLines w:val="0"/>
        <w:pageBreakBefore w:val="0"/>
        <w:widowControl/>
        <w:kinsoku/>
        <w:wordWrap/>
        <w:overflowPunct/>
        <w:topLinePunct w:val="0"/>
        <w:autoSpaceDE/>
        <w:autoSpaceDN/>
        <w:bidi w:val="0"/>
        <w:adjustRightInd/>
        <w:snapToGrid/>
        <w:ind w:firstLine="635"/>
        <w:jc w:val="both"/>
        <w:textAlignment w:val="auto"/>
        <w:rPr>
          <w:rFonts w:hint="eastAsia" w:ascii="Times New Roman" w:hAnsi="Times New Roman" w:eastAsia="方正仿宋_GBK" w:cs="Times New Roman"/>
          <w:i w:val="0"/>
          <w:iCs w:val="0"/>
          <w:caps w:val="0"/>
          <w:snapToGrid w:val="0"/>
          <w:color w:val="333333"/>
          <w:spacing w:val="0"/>
          <w:kern w:val="21"/>
          <w:sz w:val="32"/>
          <w:szCs w:val="32"/>
          <w:highlight w:val="yellow"/>
          <w:shd w:val="clear" w:fill="FFFFFF"/>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F16B0F"/>
    <w:multiLevelType w:val="singleLevel"/>
    <w:tmpl w:val="47F16B0F"/>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B24103"/>
    <w:rsid w:val="01B54D95"/>
    <w:rsid w:val="08CA637F"/>
    <w:rsid w:val="09E46813"/>
    <w:rsid w:val="11290D13"/>
    <w:rsid w:val="1722539A"/>
    <w:rsid w:val="1AF45AC8"/>
    <w:rsid w:val="1E0751B7"/>
    <w:rsid w:val="20B7045F"/>
    <w:rsid w:val="23E07270"/>
    <w:rsid w:val="2DC8445F"/>
    <w:rsid w:val="2DC858C7"/>
    <w:rsid w:val="3AF25D81"/>
    <w:rsid w:val="3E3333DB"/>
    <w:rsid w:val="41557E02"/>
    <w:rsid w:val="42B24103"/>
    <w:rsid w:val="44857D34"/>
    <w:rsid w:val="458D61E7"/>
    <w:rsid w:val="6C1F5132"/>
    <w:rsid w:val="6E0148E7"/>
    <w:rsid w:val="705B4810"/>
    <w:rsid w:val="733C76C1"/>
    <w:rsid w:val="7AB242A5"/>
    <w:rsid w:val="7BE6107C"/>
    <w:rsid w:val="7CA91F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4889</Words>
  <Characters>4967</Characters>
  <Lines>0</Lines>
  <Paragraphs>0</Paragraphs>
  <TotalTime>5</TotalTime>
  <ScaleCrop>false</ScaleCrop>
  <LinksUpToDate>false</LinksUpToDate>
  <CharactersWithSpaces>4990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2023-09-13T02:06:00Z</dcterms:created>
  <dc:creator>cccc.</dc:creator>
  <cp:lastModifiedBy>Hi,Mr.Chen♪</cp:lastModifiedBy>
  <cp:lastPrinted>2023-09-13T02:11:00Z</cp:lastPrinted>
  <dcterms:modified xsi:type="dcterms:W3CDTF">2026-08-05T06:35:18Z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eyJoZGlkIjoiMjk4MGI3YjdjNDc4ZmIzZDgyNTU0YmM2NmFmOGRmNzkiLCJ1c2VySWQiOiIzNzQ4NDMzNDUifQ==</vt:lpwstr>
  </property>
  <property fmtid="{D5CDD505-2E9C-101B-9397-08002B2CF9AE}" pid="4" name="ICV">
    <vt:lpwstr>E847C7AB09514BC29A8DF63B2FA6CD42_13</vt:lpwstr>
  </property>
</Properties>
</file>