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hint="eastAsia" w:ascii="宋体" w:hAnsi="宋体" w:eastAsia="宋体" w:cs="Times New Roman"/>
          <w:kern w:val="0"/>
          <w:sz w:val="32"/>
          <w:szCs w:val="32"/>
          <w:lang w:val="en-US" w:eastAsia="zh-CN" w:bidi="ar"/>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eastAsia="宋体" w:cs="Times New Roman"/>
          <w:kern w:val="0"/>
          <w:sz w:val="32"/>
          <w:szCs w:val="32"/>
          <w:lang w:val="en-US" w:eastAsia="zh-CN" w:bidi="ar"/>
        </w:rPr>
      </w:pPr>
      <w:r>
        <w:rPr>
          <w:rFonts w:hint="eastAsia" w:ascii="宋体" w:hAnsi="宋体" w:eastAsia="宋体" w:cs="Times New Roman"/>
          <w:kern w:val="0"/>
          <w:sz w:val="32"/>
          <w:szCs w:val="32"/>
          <w:lang w:val="en-US" w:eastAsia="zh-CN" w:bidi="ar"/>
        </w:rPr>
        <w:t>项目名称</w:t>
      </w:r>
      <w:r>
        <w:rPr>
          <w:rFonts w:hint="eastAsia" w:ascii="宋体" w:hAnsi="宋体" w:eastAsia="宋体" w:cs="Times New Roman"/>
          <w:kern w:val="2"/>
          <w:sz w:val="32"/>
          <w:szCs w:val="32"/>
          <w:lang w:val="en-US" w:eastAsia="zh-CN" w:bidi="ar-SA"/>
        </w:rPr>
        <w:t>：</w:t>
      </w:r>
      <w:r>
        <w:rPr>
          <w:rFonts w:hint="eastAsia" w:ascii="宋体" w:hAnsi="宋体" w:eastAsia="宋体" w:cs="Times New Roman"/>
          <w:kern w:val="0"/>
          <w:sz w:val="32"/>
          <w:szCs w:val="32"/>
          <w:lang w:val="en-US" w:eastAsia="zh-CN" w:bidi="ar"/>
        </w:rPr>
        <w:t>PTCA导丝等耗材（第二次）</w:t>
      </w:r>
      <w:bookmarkStart w:id="34" w:name="_GoBack"/>
      <w:bookmarkEnd w:id="34"/>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07015</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7</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82"/>
        <w:gridCol w:w="911"/>
        <w:gridCol w:w="1045"/>
        <w:gridCol w:w="1806"/>
        <w:gridCol w:w="1546"/>
        <w:gridCol w:w="3477"/>
        <w:gridCol w:w="832"/>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8" w:hRule="atLeast"/>
        </w:trPr>
        <w:tc>
          <w:tcPr>
            <w:tcW w:w="58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91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104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80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15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34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8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24" w:hRule="atLeast"/>
        </w:trPr>
        <w:tc>
          <w:tcPr>
            <w:tcW w:w="58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91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心血管内科</w:t>
            </w:r>
          </w:p>
        </w:tc>
        <w:tc>
          <w:tcPr>
            <w:tcW w:w="104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PTCA导丝</w:t>
            </w:r>
          </w:p>
        </w:tc>
        <w:tc>
          <w:tcPr>
            <w:tcW w:w="1806"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主要由芯丝和绕丝、安全丝等，直径0.014英寸，长度180cm-330cm</w:t>
            </w:r>
          </w:p>
        </w:tc>
        <w:tc>
          <w:tcPr>
            <w:tcW w:w="15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冠脉介入手术用，冠脉血管内诊断及介入用</w:t>
            </w:r>
          </w:p>
        </w:tc>
        <w:tc>
          <w:tcPr>
            <w:tcW w:w="3477"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芯丝、绕丝、安全丝等组成，芯丝材料为奥氏体不锈钢（SUS304):绕丝由不透射线绕丝和不锈钢绕丝组成，不透射线绕丝材料为铂镍合金，不锈钢绕丝材料为奥体氏不锈钢（SUS316):远端导丝富有硅油涂层和亲水涂层，近端覆有硅涂层等</w:t>
            </w:r>
          </w:p>
        </w:tc>
        <w:tc>
          <w:tcPr>
            <w:tcW w:w="83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10根</w:t>
            </w:r>
          </w:p>
        </w:tc>
        <w:tc>
          <w:tcPr>
            <w:tcW w:w="877"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588元/根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24" w:hRule="atLeast"/>
        </w:trPr>
        <w:tc>
          <w:tcPr>
            <w:tcW w:w="58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91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心血管内科</w:t>
            </w:r>
          </w:p>
        </w:tc>
        <w:tc>
          <w:tcPr>
            <w:tcW w:w="1045" w:type="dxa"/>
            <w:shd w:val="clear" w:color="auto" w:fill="auto"/>
            <w:vAlign w:val="center"/>
          </w:tcPr>
          <w:p>
            <w:pPr>
              <w:keepNext w:val="0"/>
              <w:keepLines w:val="0"/>
              <w:widowControl/>
              <w:suppressLineNumbers w:val="0"/>
              <w:jc w:val="center"/>
              <w:textAlignment w:val="center"/>
              <w:rPr>
                <w:rFonts w:hint="eastAsia"/>
              </w:rPr>
            </w:pPr>
            <w:r>
              <w:rPr>
                <w:rFonts w:hint="eastAsia"/>
              </w:rPr>
              <w:t>冠脉药物涂层球囊扩张导管</w:t>
            </w:r>
          </w:p>
        </w:tc>
        <w:tc>
          <w:tcPr>
            <w:tcW w:w="180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球囊、导管体、导管座等，以及由紫杉醇药物涂层组成。尺寸为2.0*8—4.0*40mm</w:t>
            </w:r>
          </w:p>
        </w:tc>
        <w:tc>
          <w:tcPr>
            <w:tcW w:w="15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用于冠脉支架内再狭窄的治疗，用于血管直径≥2.0mm且≤3.0mm原发冠状动脉分叉病变狭窄的扩张治疗。</w:t>
            </w:r>
          </w:p>
        </w:tc>
        <w:tc>
          <w:tcPr>
            <w:tcW w:w="34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球囊、导管体、导管座等部分组成，在球囊表面涂覆有紫杉醇药物涂层，紫杉醇剂量为3ug/mm2，在导管上有自灌注孔近端，确定灌注孔位置，管体涂覆有亲水涂层，导管座上有用于与压力泵相连接的圆锥接头，球囊通过导管体与压力泵相连，形成一个封闭的回路，压力泵注入或抽出的液体使球囊扩张或收缩，从而达到在病变部位扩张，使得药物释放的目的。</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20根</w:t>
            </w:r>
          </w:p>
        </w:tc>
        <w:tc>
          <w:tcPr>
            <w:tcW w:w="8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2524元/根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24" w:hRule="atLeast"/>
        </w:trPr>
        <w:tc>
          <w:tcPr>
            <w:tcW w:w="58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91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心血管内科</w:t>
            </w:r>
          </w:p>
        </w:tc>
        <w:tc>
          <w:tcPr>
            <w:tcW w:w="1045" w:type="dxa"/>
            <w:shd w:val="clear" w:color="auto" w:fill="auto"/>
            <w:vAlign w:val="center"/>
          </w:tcPr>
          <w:p>
            <w:pPr>
              <w:keepNext w:val="0"/>
              <w:keepLines w:val="0"/>
              <w:widowControl/>
              <w:suppressLineNumbers w:val="0"/>
              <w:jc w:val="center"/>
              <w:textAlignment w:val="center"/>
              <w:rPr>
                <w:rFonts w:hint="eastAsia"/>
              </w:rPr>
            </w:pPr>
            <w:r>
              <w:rPr>
                <w:rFonts w:hint="eastAsia"/>
              </w:rPr>
              <w:t>血管鞘组</w:t>
            </w:r>
          </w:p>
        </w:tc>
        <w:tc>
          <w:tcPr>
            <w:tcW w:w="180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导管鞘的材质为含氧化铋的ETFE。尺寸：桡动脉鞘5F6F</w:t>
            </w:r>
          </w:p>
        </w:tc>
        <w:tc>
          <w:tcPr>
            <w:tcW w:w="15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用于介入手术中，辅助导管、电极、球囊等器械的插入</w:t>
            </w:r>
          </w:p>
        </w:tc>
        <w:tc>
          <w:tcPr>
            <w:tcW w:w="34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由穿刺针、导引套管、导管鞘、扩张器、导丝、皮肤切开器、注射器组成。</w:t>
            </w:r>
          </w:p>
        </w:tc>
        <w:tc>
          <w:tcPr>
            <w:tcW w:w="83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100套</w:t>
            </w:r>
          </w:p>
        </w:tc>
        <w:tc>
          <w:tcPr>
            <w:tcW w:w="877"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170元/套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11076"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13.供应商管理要求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1）供应商不得提供市场过期准入证件或超出注册证规定范围的产品，若违反相关规定应承担相应责任。在用产品的资质证件如存在失效的情况，供应商应在失效前一个月内向医院设备物资科进行报备审批，证件完成更新后，需在五个工作日内向医院设备物资科办理资料更新。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2）供应商应当严格按照订单进行备货、送货，未收到订单不得送货。在规定时限内将医用耗材送至指定地点，所配送的产品需与送货单上及产品内外包装所标识的相关信息保持一致，并保证产品质量，若供应耗材质量连续三次不达标，设备物资科将整理相关材料上报耗材管理委员会取消供应商配送权，并交由招标采购办公室重新招采。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（3）在用医用耗材供应商因代理权到期、变更，或供应商自身原因无法继续供应，但临床科室确需使用的。由代理权变更发起方提出申请，按照要求填写《耗材转配送申请表》，同时提供以下材料：</w:t>
      </w:r>
      <w:r>
        <w:rPr>
          <w:rFonts w:hint="default" w:ascii="方正仿宋_GBK" w:hAnsi="方正仿宋_GBK" w:eastAsia="方正仿宋_GBK" w:cs="方正仿宋_GBK"/>
          <w:color w:val="auto"/>
          <w:sz w:val="30"/>
          <w:szCs w:val="30"/>
          <w:highlight w:val="red"/>
          <w:lang w:val="en-US" w:eastAsia="zh-CN"/>
        </w:rPr>
        <w:t>①</w:t>
      </w:r>
      <w:r>
        <w:rPr>
          <w:rFonts w:hint="eastAsia" w:ascii="方正仿宋_GBK" w:hAnsi="方正仿宋_GBK" w:eastAsia="方正仿宋_GBK" w:cs="方正仿宋_GBK"/>
          <w:color w:val="auto"/>
          <w:sz w:val="30"/>
          <w:szCs w:val="30"/>
          <w:highlight w:val="red"/>
          <w:lang w:val="en-US" w:eastAsia="zh-CN"/>
        </w:rPr>
        <w:t>变更供应声明，经生产厂家、变更前供应商、变更供应商加盖公章；</w:t>
      </w:r>
      <w:r>
        <w:rPr>
          <w:rFonts w:hint="default" w:ascii="方正仿宋_GBK" w:hAnsi="方正仿宋_GBK" w:eastAsia="方正仿宋_GBK" w:cs="方正仿宋_GBK"/>
          <w:color w:val="auto"/>
          <w:sz w:val="30"/>
          <w:szCs w:val="30"/>
          <w:highlight w:val="red"/>
          <w:lang w:val="en-US" w:eastAsia="zh-CN"/>
        </w:rPr>
        <w:t>②</w:t>
      </w:r>
      <w:r>
        <w:rPr>
          <w:rFonts w:hint="eastAsia" w:ascii="方正仿宋_GBK" w:hAnsi="方正仿宋_GBK" w:eastAsia="方正仿宋_GBK" w:cs="方正仿宋_GBK"/>
          <w:color w:val="auto"/>
          <w:sz w:val="30"/>
          <w:szCs w:val="30"/>
          <w:highlight w:val="red"/>
          <w:lang w:val="en-US" w:eastAsia="zh-CN"/>
        </w:rPr>
        <w:t>涉及代理权变更的产品清单，须加盖变更前供应商和变更后供应商公章；</w:t>
      </w:r>
      <w:r>
        <w:rPr>
          <w:rFonts w:hint="default" w:ascii="方正仿宋_GBK" w:hAnsi="方正仿宋_GBK" w:eastAsia="方正仿宋_GBK" w:cs="方正仿宋_GBK"/>
          <w:color w:val="auto"/>
          <w:sz w:val="30"/>
          <w:szCs w:val="30"/>
          <w:highlight w:val="red"/>
          <w:lang w:val="en-US" w:eastAsia="zh-CN"/>
        </w:rPr>
        <w:t>③</w:t>
      </w:r>
      <w:r>
        <w:rPr>
          <w:rFonts w:hint="eastAsia" w:ascii="方正仿宋_GBK" w:hAnsi="方正仿宋_GBK" w:eastAsia="方正仿宋_GBK" w:cs="方正仿宋_GBK"/>
          <w:color w:val="auto"/>
          <w:sz w:val="30"/>
          <w:szCs w:val="30"/>
          <w:highlight w:val="red"/>
          <w:lang w:val="en-US" w:eastAsia="zh-CN"/>
        </w:rPr>
        <w:t>生产厂家营业执照、医疗器械生产许可证或备案凭证；</w:t>
      </w:r>
      <w:r>
        <w:rPr>
          <w:rFonts w:hint="default" w:ascii="方正仿宋_GBK" w:hAnsi="方正仿宋_GBK" w:eastAsia="方正仿宋_GBK" w:cs="方正仿宋_GBK"/>
          <w:color w:val="auto"/>
          <w:sz w:val="30"/>
          <w:szCs w:val="30"/>
          <w:highlight w:val="red"/>
          <w:lang w:val="en-US" w:eastAsia="zh-CN"/>
        </w:rPr>
        <w:t>④</w:t>
      </w:r>
      <w:r>
        <w:rPr>
          <w:rFonts w:hint="eastAsia" w:ascii="方正仿宋_GBK" w:hAnsi="方正仿宋_GBK" w:eastAsia="方正仿宋_GBK" w:cs="方正仿宋_GBK"/>
          <w:color w:val="auto"/>
          <w:sz w:val="30"/>
          <w:szCs w:val="30"/>
          <w:highlight w:val="red"/>
          <w:lang w:val="en-US" w:eastAsia="zh-CN"/>
        </w:rPr>
        <w:t>加盖公章的供应商逐级委托授权书；</w:t>
      </w:r>
      <w:r>
        <w:rPr>
          <w:rFonts w:hint="default" w:ascii="方正仿宋_GBK" w:hAnsi="方正仿宋_GBK" w:eastAsia="方正仿宋_GBK" w:cs="方正仿宋_GBK"/>
          <w:color w:val="auto"/>
          <w:sz w:val="30"/>
          <w:szCs w:val="30"/>
          <w:highlight w:val="red"/>
          <w:lang w:val="en-US" w:eastAsia="zh-CN"/>
        </w:rPr>
        <w:t>⑤</w:t>
      </w:r>
      <w:r>
        <w:rPr>
          <w:rFonts w:hint="eastAsia" w:ascii="方正仿宋_GBK" w:hAnsi="方正仿宋_GBK" w:eastAsia="方正仿宋_GBK" w:cs="方正仿宋_GBK"/>
          <w:color w:val="auto"/>
          <w:sz w:val="30"/>
          <w:szCs w:val="30"/>
          <w:highlight w:val="red"/>
          <w:lang w:val="en-US" w:eastAsia="zh-CN"/>
        </w:rPr>
        <w:t>变更后代理商营业执照、医疗器械经营许可证或备案凭证；</w:t>
      </w:r>
      <w:r>
        <w:rPr>
          <w:rFonts w:hint="default" w:ascii="方正仿宋_GBK" w:hAnsi="方正仿宋_GBK" w:eastAsia="方正仿宋_GBK" w:cs="方正仿宋_GBK"/>
          <w:color w:val="auto"/>
          <w:sz w:val="30"/>
          <w:szCs w:val="30"/>
          <w:highlight w:val="red"/>
          <w:lang w:val="en-US" w:eastAsia="zh-CN"/>
        </w:rPr>
        <w:t>⑥</w:t>
      </w:r>
      <w:r>
        <w:rPr>
          <w:rFonts w:hint="eastAsia" w:ascii="方正仿宋_GBK" w:hAnsi="方正仿宋_GBK" w:eastAsia="方正仿宋_GBK" w:cs="方正仿宋_GBK"/>
          <w:color w:val="auto"/>
          <w:sz w:val="30"/>
          <w:szCs w:val="30"/>
          <w:highlight w:val="red"/>
          <w:lang w:val="en-US" w:eastAsia="zh-CN"/>
        </w:rPr>
        <w:t xml:space="preserve">产品售后保障说明或质量保障协议；⑦加盖了企业公章和企业法定代表人印章或签字的业务员委托授权书；⑧涉及代理权变更产品的医疗器械注册证或备案证及其他有效证件。设备物资科负责整理并初步审核申请材料，包括申请材料的规范性、合理性，产品和供应商的资质证件合规性，并对变更后的供应商进行背景调查近期有无违纪违规违法行为。分别送物价办、分管院领导进行审核后报耗材管理委员会、院长办公会审定。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（4）完成供应商变更后，原则上两年内不允许就同一产品再次提交供应商变更申请。</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5）设备物资科定期开展在用医疗耗材供应商评价工作，主要从日常响应、供货响应、售后响应等方面进行综合评价，并将评价结果报送医院耗材管理委员会，对服务能力较差、保障能力不足的供应商采取相应的惩罚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（6）其他要求详见璧山区人民医院《医用耗材供应商管理与评价制度》。</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14.如采购人发现供应商投标文件中出现围串标行为，投标响应供应商应配合采购人提供相应资料进行调查（包括响应原始文件WORD版本）。</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237057789"/>
      <w:bookmarkStart w:id="1" w:name="_Toc128229721"/>
      <w:bookmarkStart w:id="2" w:name="_Toc156196446"/>
      <w:bookmarkStart w:id="3" w:name="_Toc128014287"/>
      <w:bookmarkStart w:id="4" w:name="_Toc128229278"/>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28229916"/>
      <w:bookmarkStart w:id="6" w:name="_Toc156815770"/>
      <w:bookmarkStart w:id="7" w:name="_Toc156730450"/>
      <w:bookmarkStart w:id="8" w:name="_Toc156196470"/>
      <w:bookmarkStart w:id="9" w:name="_Toc166549448"/>
      <w:bookmarkStart w:id="10" w:name="_Toc173677397"/>
      <w:bookmarkStart w:id="11" w:name="_Toc128229745"/>
      <w:bookmarkStart w:id="12" w:name="_Toc156196559"/>
      <w:bookmarkStart w:id="13" w:name="_Toc128229302"/>
      <w:bookmarkStart w:id="14" w:name="_Toc175017342"/>
      <w:bookmarkStart w:id="15" w:name="_Toc166139912"/>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56730451"/>
      <w:bookmarkStart w:id="17" w:name="_Toc156196471"/>
      <w:bookmarkStart w:id="18" w:name="_Toc173677398"/>
      <w:bookmarkStart w:id="19" w:name="_Toc166139913"/>
      <w:bookmarkStart w:id="20" w:name="_Toc175017343"/>
      <w:bookmarkStart w:id="21" w:name="_Toc128229917"/>
      <w:bookmarkStart w:id="22" w:name="_Toc166549449"/>
      <w:bookmarkStart w:id="23" w:name="_Toc156815771"/>
      <w:bookmarkStart w:id="24" w:name="_Toc156196560"/>
      <w:bookmarkStart w:id="25" w:name="_Toc128229303"/>
      <w:bookmarkStart w:id="26" w:name="_Toc128229746"/>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28229747"/>
      <w:bookmarkStart w:id="28" w:name="_Toc175017344"/>
      <w:bookmarkStart w:id="29" w:name="_Toc128014297"/>
      <w:bookmarkStart w:id="30" w:name="_Toc173677399"/>
      <w:bookmarkStart w:id="31" w:name="_Toc156196472"/>
      <w:bookmarkStart w:id="32" w:name="_Toc237057793"/>
      <w:bookmarkStart w:id="33" w:name="_Toc128229304"/>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AF911B3"/>
    <w:rsid w:val="1B672584"/>
    <w:rsid w:val="1BDB1DFC"/>
    <w:rsid w:val="1BF0387E"/>
    <w:rsid w:val="1C2E45B1"/>
    <w:rsid w:val="1CF64572"/>
    <w:rsid w:val="1D17185D"/>
    <w:rsid w:val="1D38070F"/>
    <w:rsid w:val="1E01246A"/>
    <w:rsid w:val="1E9E1F27"/>
    <w:rsid w:val="1F446E3C"/>
    <w:rsid w:val="1F4E6F21"/>
    <w:rsid w:val="1F9F1AB3"/>
    <w:rsid w:val="1FDF189D"/>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11DAB"/>
    <w:rsid w:val="36B97ADD"/>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3EE3F24"/>
    <w:rsid w:val="4413072B"/>
    <w:rsid w:val="446D3310"/>
    <w:rsid w:val="44BE681C"/>
    <w:rsid w:val="458200D5"/>
    <w:rsid w:val="45A23A80"/>
    <w:rsid w:val="45A7242F"/>
    <w:rsid w:val="45D777E7"/>
    <w:rsid w:val="45ED07BE"/>
    <w:rsid w:val="46F936A8"/>
    <w:rsid w:val="4755437D"/>
    <w:rsid w:val="4773430F"/>
    <w:rsid w:val="47AF4141"/>
    <w:rsid w:val="48481EDA"/>
    <w:rsid w:val="49F93E40"/>
    <w:rsid w:val="4B000257"/>
    <w:rsid w:val="4B01127E"/>
    <w:rsid w:val="4B251F56"/>
    <w:rsid w:val="4BE06497"/>
    <w:rsid w:val="4BEF7421"/>
    <w:rsid w:val="4C071622"/>
    <w:rsid w:val="4C16658E"/>
    <w:rsid w:val="4C656468"/>
    <w:rsid w:val="4CC6569A"/>
    <w:rsid w:val="4D380C2E"/>
    <w:rsid w:val="4E3A25BC"/>
    <w:rsid w:val="4EA57B48"/>
    <w:rsid w:val="50D61909"/>
    <w:rsid w:val="52D45A4A"/>
    <w:rsid w:val="533646E0"/>
    <w:rsid w:val="533A196A"/>
    <w:rsid w:val="53662D9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A32FC7"/>
    <w:rsid w:val="60AF6D3F"/>
    <w:rsid w:val="60BC4792"/>
    <w:rsid w:val="622A5268"/>
    <w:rsid w:val="62BA0AE5"/>
    <w:rsid w:val="63B41BA1"/>
    <w:rsid w:val="63C86061"/>
    <w:rsid w:val="64761FE6"/>
    <w:rsid w:val="65051C35"/>
    <w:rsid w:val="65825D08"/>
    <w:rsid w:val="65C64E6A"/>
    <w:rsid w:val="661C43A8"/>
    <w:rsid w:val="66491966"/>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F12BBF"/>
    <w:rsid w:val="7294362B"/>
    <w:rsid w:val="72C0229A"/>
    <w:rsid w:val="73054CC1"/>
    <w:rsid w:val="73B16225"/>
    <w:rsid w:val="73CB2A32"/>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13002</Words>
  <Characters>14340</Characters>
  <Lines>202</Lines>
  <Paragraphs>243</Paragraphs>
  <TotalTime>1</TotalTime>
  <ScaleCrop>false</ScaleCrop>
  <LinksUpToDate>false</LinksUpToDate>
  <CharactersWithSpaces>15020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2026-08-26T00:41:45Z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eyJoZGlkIjoiZjllNzIxZDc2YmI1MDNjMzU4NWU3ZjdhNjk3N2E2OWYiLCJ1c2VySWQiOiIxNjE2MTQ1MTM5In0=</vt:lpwstr>
  </property>
</Properties>
</file>