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项目名称：3D三折床垫</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项目编号：BSRMYY-YNCG-2025-09005</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513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2"/>
        <w:gridCol w:w="2564"/>
        <w:gridCol w:w="1186"/>
        <w:gridCol w:w="941"/>
        <w:gridCol w:w="2435"/>
        <w:gridCol w:w="2073"/>
      </w:tblGrid>
      <w:tr w14:paraId="00558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5"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266"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585"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w:t>
            </w:r>
          </w:p>
        </w:tc>
        <w:tc>
          <w:tcPr>
            <w:tcW w:w="464"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202"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024" w:type="pct"/>
            <w:vAlign w:val="center"/>
          </w:tcPr>
          <w:p w14:paraId="0566CAA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总价合计（元）</w:t>
            </w:r>
          </w:p>
        </w:tc>
      </w:tr>
      <w:tr w14:paraId="7745E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5"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266"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3D三折床垫</w:t>
            </w:r>
          </w:p>
        </w:tc>
        <w:tc>
          <w:tcPr>
            <w:tcW w:w="585"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23</w:t>
            </w:r>
          </w:p>
        </w:tc>
        <w:tc>
          <w:tcPr>
            <w:tcW w:w="464"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张</w:t>
            </w:r>
          </w:p>
        </w:tc>
        <w:tc>
          <w:tcPr>
            <w:tcW w:w="1202"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1800</w:t>
            </w:r>
          </w:p>
        </w:tc>
        <w:tc>
          <w:tcPr>
            <w:tcW w:w="1024" w:type="pct"/>
            <w:vAlign w:val="center"/>
          </w:tcPr>
          <w:p w14:paraId="6B7FFC3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41400</w:t>
            </w:r>
          </w:p>
        </w:tc>
      </w:tr>
    </w:tbl>
    <w:p w14:paraId="73EE7FE2">
      <w:pPr>
        <w:pStyle w:val="25"/>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3"/>
        <w:tblW w:w="5297" w:type="pct"/>
        <w:tblInd w:w="-4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8"/>
        <w:gridCol w:w="1772"/>
        <w:gridCol w:w="7819"/>
      </w:tblGrid>
      <w:tr w14:paraId="0948E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06"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848"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3745"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r>
      <w:tr w14:paraId="63EB2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trPr>
        <w:tc>
          <w:tcPr>
            <w:tcW w:w="406"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848" w:type="pct"/>
            <w:shd w:val="clear" w:color="auto" w:fill="auto"/>
            <w:vAlign w:val="center"/>
          </w:tcPr>
          <w:p w14:paraId="5E5ACB0C">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3D三折床垫</w:t>
            </w:r>
          </w:p>
        </w:tc>
        <w:tc>
          <w:tcPr>
            <w:tcW w:w="3745" w:type="pct"/>
            <w:shd w:val="clear" w:color="auto" w:fill="auto"/>
            <w:vAlign w:val="center"/>
          </w:tcPr>
          <w:p w14:paraId="68EF8A20">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具体配置：床垫1张</w:t>
            </w:r>
          </w:p>
          <w:p w14:paraId="6FD670EC">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用途范围：用于病人躺卧</w:t>
            </w:r>
          </w:p>
          <w:p w14:paraId="73E2C359">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组成结构：床垫外套及床垫内芯组成</w:t>
            </w:r>
          </w:p>
          <w:p w14:paraId="372D5D69">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规格（长宽高）：1930×820×80mm±10mm</w:t>
            </w:r>
          </w:p>
          <w:p w14:paraId="726DD120">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主要性能：产品具有抗菌，防霉，防螨，透湿，预防褥疮，环保等功能。</w:t>
            </w:r>
          </w:p>
          <w:p w14:paraId="32387A7F">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材质要求：</w:t>
            </w:r>
          </w:p>
          <w:p w14:paraId="1C62943F">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1、床垫外套采用涤纶针织复膜布，耐水压（防渗透）≥5000mm/H2O，透湿度500g/㎡/24hrs，A级阻燃标准。</w:t>
            </w:r>
          </w:p>
          <w:p w14:paraId="2940F0F3">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2、床垫外套抗菌，</w:t>
            </w:r>
            <w:r>
              <w:rPr>
                <w:rFonts w:hint="eastAsia" w:ascii="方正仿宋_GBK" w:hAnsi="方正仿宋_GBK" w:eastAsia="方正仿宋_GBK" w:cs="方正仿宋_GBK"/>
                <w:b/>
                <w:bCs/>
                <w:color w:val="auto"/>
                <w:sz w:val="24"/>
                <w:szCs w:val="24"/>
                <w:highlight w:val="none"/>
                <w:lang w:val="en-US" w:eastAsia="zh-CN"/>
              </w:rPr>
              <w:t>抑菌率：</w:t>
            </w:r>
            <w:r>
              <w:rPr>
                <w:rFonts w:hint="eastAsia" w:ascii="方正仿宋_GBK" w:hAnsi="方正仿宋_GBK" w:eastAsia="方正仿宋_GBK" w:cs="方正仿宋_GBK"/>
                <w:b/>
                <w:bCs/>
                <w:sz w:val="24"/>
                <w:szCs w:val="24"/>
                <w:highlight w:val="none"/>
                <w:lang w:val="en-US" w:eastAsia="zh-CN"/>
              </w:rPr>
              <w:t>金黄色葡萄球菌≥95%、绿脓杆菌≥95%、白色念珠菌≥95%、大肠杆菌≥95%。</w:t>
            </w:r>
          </w:p>
          <w:p w14:paraId="753F5155">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3、床垫外套防霉，</w:t>
            </w:r>
            <w:r>
              <w:rPr>
                <w:rFonts w:hint="eastAsia" w:ascii="方正仿宋_GBK" w:hAnsi="方正仿宋_GBK" w:eastAsia="方正仿宋_GBK" w:cs="方正仿宋_GBK"/>
                <w:b/>
                <w:bCs/>
                <w:color w:val="auto"/>
                <w:sz w:val="24"/>
                <w:szCs w:val="24"/>
                <w:highlight w:val="none"/>
                <w:lang w:val="en-US" w:eastAsia="zh-CN"/>
              </w:rPr>
              <w:t>防霉等级：</w:t>
            </w:r>
            <w:r>
              <w:rPr>
                <w:rFonts w:hint="eastAsia" w:ascii="方正仿宋_GBK" w:hAnsi="方正仿宋_GBK" w:eastAsia="方正仿宋_GBK" w:cs="方正仿宋_GBK"/>
                <w:b/>
                <w:bCs/>
                <w:sz w:val="24"/>
                <w:szCs w:val="24"/>
                <w:highlight w:val="none"/>
                <w:lang w:val="en-US" w:eastAsia="zh-CN"/>
              </w:rPr>
              <w:t>巴西曲霉＜2级，绳状青霉＜2级，出芽短梗霉＜2级，球毛壳＜2级，绿色木霉＜2级。</w:t>
            </w:r>
          </w:p>
          <w:p w14:paraId="2A1ACAC0">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4、床垫内芯采用高分子纤维材料，要求大肠杆菌抑菌率≥90%、金黄色葡萄球菌抑菌率≥90%，总发挥有机化合物（TVOC）≤0.25mg/(㎡h)，未检测出铅（Pb）、汞（Hg)、镉（Cd)、六价铬（Cr VI)、多溴联苯之和（PBB）、溴二苯醚之和（PBDE）、邻苯二甲酸二丁酯（DBP）等有害物质。</w:t>
            </w:r>
          </w:p>
          <w:p w14:paraId="4987E45B">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环保节能要求：床垫阻螨率≥95%，甲醛≤0.050mg/m2·h，可溶性铅≤90mg/kg、可溶性镉≤75mg/kg、可溶性铬≤60mg/kg、可溶性汞≤60mg/kg，防水等级≥5级。</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4EEF972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按照法律法规相关规定。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本项目最高限价41400元。</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运输装卸、质保期维护保养费（含易损件更换）、资料装订及邮寄费、税费、保险费、验收检测费、培训费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中选后，一般情况接采购人通知后14天完成安装调试，特殊情况20天完成。</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529D10E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验收合格后支付合同金额的95%，质保期满后无息支付剩余5%，</w:t>
      </w:r>
    </w:p>
    <w:p w14:paraId="1B88621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付款时供应商提供发票、验收单、送货单等。</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到货后确认产品规格、性能等参数符合招标文件要求作为初步验收，初步验收无异常由供应商进行安装调试，安装调试后试运行1个月无异常才作为最终验收。验收及使用中发现产品质量争议按照验收争议进行处理；验收争议时由采购人邀请第三方机构检测，费用由供应商承担。</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（1）生产日期要求：送货产品须为生产日期1年内的全新产品。</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color w:val="auto"/>
          <w:kern w:val="0"/>
          <w:sz w:val="32"/>
          <w:szCs w:val="32"/>
          <w:highlight w:val="none"/>
          <w:lang w:val="en-US" w:eastAsia="zh-CN"/>
        </w:rPr>
        <w:t>质保期限：产品质保期不少于3年（时间从双方验收确认签字入库起开始计算），质保期内非人为损坏免费更换或维修（质保期内产品突发故障的维修处理期限不计算到质保期），维修为原厂配件。</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（3）故障响应：产品出现任何故障，供应商应30分钟提供电话响应，4小时到达医院处置。</w:t>
      </w:r>
    </w:p>
    <w:p w14:paraId="75EE6AD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b w:val="0"/>
          <w:bCs w:val="0"/>
          <w:color w:val="auto"/>
          <w:kern w:val="0"/>
          <w:sz w:val="32"/>
          <w:szCs w:val="32"/>
          <w:highlight w:val="none"/>
          <w:lang w:val="en-US" w:eastAsia="zh-CN"/>
        </w:rPr>
        <w:t>培训要求：</w:t>
      </w:r>
      <w:r>
        <w:rPr>
          <w:rFonts w:hint="eastAsia" w:ascii="方正仿宋_GBK" w:hAnsi="方正仿宋_GBK" w:eastAsia="方正仿宋_GBK" w:cs="方正仿宋_GBK"/>
          <w:color w:val="auto"/>
          <w:kern w:val="0"/>
          <w:sz w:val="32"/>
          <w:szCs w:val="32"/>
          <w:highlight w:val="none"/>
          <w:lang w:val="en-US" w:eastAsia="zh-CN"/>
        </w:rPr>
        <w:t>产品投入使用前，应对具体使用人进行至少1次培训。</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8.违约责任</w:t>
      </w:r>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供应商未按采购人要求时限送货，每延迟1日，供应商应向采购人支付1000元违约金，超过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auto"/>
          <w:kern w:val="0"/>
          <w:sz w:val="32"/>
          <w:szCs w:val="32"/>
          <w:highlight w:val="none"/>
          <w:lang w:val="en-US" w:eastAsia="zh-CN"/>
        </w:rPr>
        <w:t>日未能交付，采购人有权单方面解除合同，并要求供应商承担合同总额30%的违约金；项目验收不合格或使用中发现产品质量缺陷，采购人有权要求供应商整改，整改期限为</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10</w:t>
      </w:r>
      <w:r>
        <w:rPr>
          <w:rFonts w:hint="eastAsia" w:ascii="方正仿宋_GBK" w:hAnsi="方正仿宋_GBK" w:eastAsia="方正仿宋_GBK" w:cs="方正仿宋_GBK"/>
          <w:color w:val="auto"/>
          <w:kern w:val="0"/>
          <w:sz w:val="32"/>
          <w:szCs w:val="32"/>
          <w:highlight w:val="none"/>
          <w:lang w:val="en-US" w:eastAsia="zh-CN"/>
        </w:rPr>
        <w:t>日，整改期限届满仍未完成的供应商每日支付合同总金额千分之三的违约金，超过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auto"/>
          <w:kern w:val="0"/>
          <w:sz w:val="32"/>
          <w:szCs w:val="32"/>
          <w:highlight w:val="none"/>
          <w:lang w:val="en-US" w:eastAsia="zh-CN"/>
        </w:rPr>
        <w:t>日未能完成整改，采购人有权解除合同，并要求供应商承担合同总额30%的违约金，已经付款的供应商应全款退还采购人已经支付的款项；未按配套服务要求提供服务的，供应商将承担200元/次的违约金；供应商产品质量问题，每次承担1000元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77F9B44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因供应商提供的产品及服务原因引发纠纷、造成</w:t>
      </w:r>
      <w:r>
        <w:rPr>
          <w:rFonts w:hint="eastAsia" w:ascii="方正仿宋_GBK" w:hAnsi="方正仿宋_GBK" w:eastAsia="方正仿宋_GBK" w:cs="方正仿宋_GBK"/>
          <w:color w:val="auto"/>
          <w:sz w:val="32"/>
          <w:szCs w:val="32"/>
          <w:highlight w:val="none"/>
          <w:lang w:val="en-US" w:eastAsia="zh-CN"/>
        </w:rPr>
        <w:t>采购人损失、受到处罚的（如供应商拒绝履约、在提供产品及服务过程中损害采购人利益、供应商违纪违法行为、供应商提供产品及服务引发安全问题、产品故障问题供应商未及时响应造成严重后果等情形），应赔偿对采购人造成的直接和间接损失全额损失及承担相应法律责任。</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等相关费用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2D76B5E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bookmarkStart w:id="7" w:name="_GoBack"/>
      <w:bookmarkEnd w:id="7"/>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4</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按照法律法规相关规定。</w:t>
      </w: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237057793"/>
      <w:bookmarkStart w:id="2" w:name="_Toc128229747"/>
      <w:bookmarkStart w:id="3" w:name="_Toc173677399"/>
      <w:bookmarkStart w:id="4" w:name="_Toc156196472"/>
      <w:bookmarkStart w:id="5" w:name="_Toc128229304"/>
      <w:bookmarkStart w:id="6" w:name="_Toc128014297"/>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愿意按照询价采购文件中的一切要求，提供本项目的产品及服务，按总价报价为人民币大写：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r>
        <w:rPr>
          <w:rFonts w:hint="eastAsia" w:ascii="方正仿宋_GBK" w:hAnsi="方正仿宋_GBK" w:eastAsia="方正仿宋_GBK" w:cs="方正仿宋_GBK"/>
          <w:sz w:val="32"/>
          <w:szCs w:val="32"/>
          <w:highlight w:val="none"/>
          <w:lang w:val="en-US"/>
        </w:rPr>
        <w:t>人民币小写：</w:t>
      </w:r>
      <w:r>
        <w:rPr>
          <w:rFonts w:hint="eastAsia" w:ascii="方正仿宋_GBK" w:hAnsi="方正仿宋_GBK" w:eastAsia="方正仿宋_GBK" w:cs="方正仿宋_GBK"/>
          <w:sz w:val="32"/>
          <w:szCs w:val="32"/>
          <w:highlight w:val="none"/>
          <w:u w:val="single"/>
          <w:lang w:val="en-US"/>
        </w:rPr>
        <w:t xml:space="preserve">     </w:t>
      </w:r>
      <w:r>
        <w:rPr>
          <w:rFonts w:hint="eastAsia" w:ascii="方正仿宋_GBK" w:hAnsi="方正仿宋_GBK" w:eastAsia="方正仿宋_GBK" w:cs="方正仿宋_GBK"/>
          <w:sz w:val="32"/>
          <w:szCs w:val="32"/>
          <w:highlight w:val="none"/>
          <w:lang w:val="en-US"/>
        </w:rPr>
        <w:t>元。</w:t>
      </w:r>
    </w:p>
    <w:p w14:paraId="3B421839">
      <w:pPr>
        <w:pStyle w:val="9"/>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64A934D8">
      <w:pPr>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投标产品相关资料（如产品说明书、合格证等）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___WRD_EMBED_SUB_53"/>
          <w:sz w:val="30"/>
          <w:szCs w:val="30"/>
          <w:highlight w:val="none"/>
          <w:lang w:eastAsia="zh-CN"/>
        </w:rPr>
        <w:t>故障响应、</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49BCD535">
      <w:pPr>
        <w:rPr>
          <w:rFonts w:hint="eastAsia" w:ascii="仿宋_GB2312" w:hAnsi="宋体" w:eastAsia="仿宋_GB2312"/>
          <w:b/>
          <w:snapToGrid w:val="0"/>
          <w:color w:val="auto"/>
          <w:kern w:val="0"/>
          <w:sz w:val="40"/>
          <w:szCs w:val="28"/>
          <w:highlight w:val="none"/>
          <w:lang w:val="en-US" w:eastAsia="zh-CN"/>
        </w:rPr>
      </w:pPr>
    </w:p>
    <w:p w14:paraId="10C7348B">
      <w:pPr>
        <w:rPr>
          <w:rFonts w:hint="eastAsia" w:ascii="仿宋_GB2312" w:hAnsi="宋体" w:eastAsia="仿宋_GB2312"/>
          <w:b/>
          <w:snapToGrid w:val="0"/>
          <w:color w:val="auto"/>
          <w:kern w:val="0"/>
          <w:sz w:val="40"/>
          <w:szCs w:val="28"/>
          <w:highlight w:val="none"/>
          <w:lang w:val="en-US" w:eastAsia="zh-CN"/>
        </w:rPr>
      </w:pPr>
    </w:p>
    <w:p w14:paraId="241DB76C">
      <w:pPr>
        <w:rPr>
          <w:rFonts w:hint="eastAsia" w:ascii="仿宋_GB2312" w:hAnsi="宋体" w:eastAsia="仿宋_GB2312"/>
          <w:b/>
          <w:snapToGrid w:val="0"/>
          <w:color w:val="auto"/>
          <w:kern w:val="0"/>
          <w:sz w:val="40"/>
          <w:szCs w:val="28"/>
          <w:highlight w:val="none"/>
          <w:lang w:val="en-US" w:eastAsia="zh-CN"/>
        </w:rPr>
      </w:pPr>
    </w:p>
    <w:p w14:paraId="471A2B13">
      <w:pPr>
        <w:rPr>
          <w:rFonts w:hint="eastAsia" w:ascii="仿宋_GB2312" w:hAnsi="宋体" w:eastAsia="仿宋_GB2312"/>
          <w:b/>
          <w:snapToGrid w:val="0"/>
          <w:color w:val="auto"/>
          <w:kern w:val="0"/>
          <w:sz w:val="40"/>
          <w:szCs w:val="28"/>
          <w:highlight w:val="none"/>
          <w:lang w:val="en-US" w:eastAsia="zh-CN"/>
        </w:rPr>
      </w:pPr>
    </w:p>
    <w:p w14:paraId="6BFCD337">
      <w:pPr>
        <w:rPr>
          <w:rFonts w:hint="eastAsia" w:ascii="仿宋_GB2312" w:hAnsi="宋体" w:eastAsia="仿宋_GB2312"/>
          <w:b/>
          <w:snapToGrid w:val="0"/>
          <w:color w:val="auto"/>
          <w:kern w:val="0"/>
          <w:sz w:val="40"/>
          <w:szCs w:val="28"/>
          <w:highlight w:val="none"/>
          <w:lang w:val="en-US" w:eastAsia="zh-CN"/>
        </w:rPr>
      </w:pPr>
    </w:p>
    <w:p w14:paraId="76AF04BE">
      <w:pPr>
        <w:rPr>
          <w:rFonts w:hint="eastAsia" w:ascii="仿宋_GB2312" w:hAnsi="宋体" w:eastAsia="仿宋_GB2312"/>
          <w:b/>
          <w:snapToGrid w:val="0"/>
          <w:color w:val="auto"/>
          <w:kern w:val="0"/>
          <w:sz w:val="40"/>
          <w:szCs w:val="28"/>
          <w:highlight w:val="none"/>
          <w:lang w:val="en-US" w:eastAsia="zh-CN"/>
        </w:rPr>
      </w:pPr>
    </w:p>
    <w:p w14:paraId="57925C76">
      <w:pPr>
        <w:rPr>
          <w:rFonts w:hint="eastAsia" w:ascii="仿宋_GB2312" w:hAnsi="宋体" w:eastAsia="仿宋_GB2312"/>
          <w:b/>
          <w:snapToGrid w:val="0"/>
          <w:color w:val="auto"/>
          <w:kern w:val="0"/>
          <w:sz w:val="40"/>
          <w:szCs w:val="28"/>
          <w:highlight w:val="none"/>
          <w:lang w:val="en-US" w:eastAsia="zh-CN"/>
        </w:rPr>
      </w:pPr>
    </w:p>
    <w:p w14:paraId="7FEC801E">
      <w:pPr>
        <w:rPr>
          <w:rFonts w:hint="eastAsia" w:ascii="仿宋_GB2312" w:hAnsi="宋体" w:eastAsia="仿宋_GB2312"/>
          <w:b/>
          <w:snapToGrid w:val="0"/>
          <w:color w:val="auto"/>
          <w:kern w:val="0"/>
          <w:sz w:val="40"/>
          <w:szCs w:val="28"/>
          <w:highlight w:val="none"/>
          <w:lang w:val="en-US" w:eastAsia="zh-CN"/>
        </w:rPr>
      </w:pPr>
    </w:p>
    <w:p w14:paraId="71A28115">
      <w:pPr>
        <w:rPr>
          <w:rFonts w:hint="eastAsia" w:ascii="仿宋_GB2312" w:hAnsi="宋体" w:eastAsia="仿宋_GB2312"/>
          <w:b/>
          <w:snapToGrid w:val="0"/>
          <w:color w:val="auto"/>
          <w:kern w:val="0"/>
          <w:sz w:val="40"/>
          <w:szCs w:val="28"/>
          <w:highlight w:val="none"/>
          <w:lang w:val="en-US" w:eastAsia="zh-CN"/>
        </w:rPr>
      </w:pPr>
    </w:p>
    <w:p w14:paraId="2756EDA2">
      <w:pPr>
        <w:rPr>
          <w:rFonts w:hint="eastAsia" w:ascii="仿宋_GB2312" w:hAnsi="宋体" w:eastAsia="仿宋_GB2312"/>
          <w:b/>
          <w:snapToGrid w:val="0"/>
          <w:color w:val="auto"/>
          <w:kern w:val="0"/>
          <w:sz w:val="40"/>
          <w:szCs w:val="28"/>
          <w:highlight w:val="none"/>
          <w:lang w:val="en-US" w:eastAsia="zh-CN"/>
        </w:rPr>
      </w:pPr>
    </w:p>
    <w:p w14:paraId="31F5A486">
      <w:pPr>
        <w:rPr>
          <w:rFonts w:hint="eastAsia" w:ascii="仿宋_GB2312" w:hAnsi="宋体" w:eastAsia="仿宋_GB2312"/>
          <w:b/>
          <w:snapToGrid w:val="0"/>
          <w:color w:val="auto"/>
          <w:kern w:val="0"/>
          <w:sz w:val="40"/>
          <w:szCs w:val="28"/>
          <w:highlight w:val="none"/>
          <w:lang w:val="en-US" w:eastAsia="zh-CN"/>
        </w:rPr>
      </w:pPr>
    </w:p>
    <w:p w14:paraId="477F2D1D">
      <w:pPr>
        <w:rPr>
          <w:rFonts w:hint="eastAsia" w:ascii="仿宋_GB2312" w:hAnsi="宋体" w:eastAsia="仿宋_GB2312"/>
          <w:b/>
          <w:snapToGrid w:val="0"/>
          <w:color w:val="auto"/>
          <w:kern w:val="0"/>
          <w:sz w:val="40"/>
          <w:szCs w:val="28"/>
          <w:highlight w:val="none"/>
          <w:lang w:val="en-US" w:eastAsia="zh-CN"/>
        </w:rPr>
      </w:pPr>
    </w:p>
    <w:p w14:paraId="27FAD3AC">
      <w:pPr>
        <w:rPr>
          <w:rFonts w:hint="eastAsia" w:ascii="仿宋_GB2312" w:hAnsi="宋体" w:eastAsia="仿宋_GB2312"/>
          <w:b/>
          <w:snapToGrid w:val="0"/>
          <w:color w:val="auto"/>
          <w:kern w:val="0"/>
          <w:sz w:val="40"/>
          <w:szCs w:val="28"/>
          <w:highlight w:val="none"/>
          <w:lang w:val="en-US" w:eastAsia="zh-CN"/>
        </w:rPr>
      </w:pPr>
    </w:p>
    <w:p w14:paraId="57BA44D0">
      <w:pPr>
        <w:rPr>
          <w:rFonts w:hint="eastAsia" w:ascii="仿宋_GB2312" w:hAnsi="宋体" w:eastAsia="仿宋_GB2312"/>
          <w:b/>
          <w:snapToGrid w:val="0"/>
          <w:color w:val="auto"/>
          <w:kern w:val="0"/>
          <w:sz w:val="40"/>
          <w:szCs w:val="28"/>
          <w:highlight w:val="none"/>
          <w:lang w:val="en-US" w:eastAsia="zh-CN"/>
        </w:rPr>
      </w:pPr>
    </w:p>
    <w:p w14:paraId="6177F22D">
      <w:pPr>
        <w:rPr>
          <w:rFonts w:hint="eastAsia" w:ascii="仿宋_GB2312" w:hAnsi="宋体" w:eastAsia="仿宋_GB2312"/>
          <w:b/>
          <w:snapToGrid w:val="0"/>
          <w:color w:val="auto"/>
          <w:kern w:val="0"/>
          <w:sz w:val="40"/>
          <w:szCs w:val="28"/>
          <w:highlight w:val="none"/>
          <w:lang w:val="en-US" w:eastAsia="zh-CN"/>
        </w:rPr>
      </w:pPr>
    </w:p>
    <w:p w14:paraId="367A8E93">
      <w:pPr>
        <w:rPr>
          <w:rFonts w:hint="eastAsia" w:ascii="仿宋_GB2312" w:hAnsi="宋体" w:eastAsia="仿宋_GB2312"/>
          <w:b/>
          <w:snapToGrid w:val="0"/>
          <w:color w:val="auto"/>
          <w:kern w:val="0"/>
          <w:sz w:val="40"/>
          <w:szCs w:val="28"/>
          <w:highlight w:val="none"/>
          <w:lang w:val="en-US" w:eastAsia="zh-CN"/>
        </w:rPr>
      </w:pPr>
    </w:p>
    <w:p w14:paraId="7558D603">
      <w:pPr>
        <w:rPr>
          <w:rFonts w:hint="eastAsia" w:ascii="仿宋_GB2312" w:hAnsi="宋体" w:eastAsia="仿宋_GB2312"/>
          <w:b/>
          <w:snapToGrid w:val="0"/>
          <w:color w:val="auto"/>
          <w:kern w:val="0"/>
          <w:sz w:val="40"/>
          <w:szCs w:val="28"/>
          <w:highlight w:val="none"/>
          <w:lang w:val="en-US" w:eastAsia="zh-CN"/>
        </w:rPr>
      </w:pPr>
    </w:p>
    <w:p w14:paraId="0711F7FF">
      <w:pPr>
        <w:pStyle w:val="5"/>
        <w:jc w:val="center"/>
        <w:rPr>
          <w:rFonts w:hint="eastAsia" w:ascii="仿宋_GB2312" w:hAnsi="宋体" w:eastAsia="仿宋_GB2312"/>
          <w:b/>
          <w:snapToGrid w:val="0"/>
          <w:color w:val="auto"/>
          <w:kern w:val="0"/>
          <w:sz w:val="40"/>
          <w:szCs w:val="28"/>
          <w:highlight w:val="none"/>
          <w:lang w:val="en-US" w:eastAsia="zh-CN"/>
        </w:rPr>
      </w:pP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081AA213">
      <w:pPr>
        <w:pStyle w:val="5"/>
        <w:jc w:val="center"/>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6FC298F3">
      <w:pPr>
        <w:pStyle w:val="5"/>
        <w:jc w:val="center"/>
        <w:rPr>
          <w:rFonts w:hint="eastAsia" w:ascii="方正仿宋_GBK" w:eastAsia="方正仿宋_GBK"/>
          <w:sz w:val="32"/>
          <w:szCs w:val="32"/>
          <w:highlight w:val="none"/>
          <w:lang w:val="en-US" w:eastAsia="zh-CN"/>
        </w:rPr>
      </w:pPr>
    </w:p>
    <w:p w14:paraId="64CEBE7C">
      <w:pPr>
        <w:pStyle w:val="5"/>
        <w:jc w:val="center"/>
        <w:rPr>
          <w:rFonts w:hint="eastAsia" w:ascii="方正仿宋_GBK" w:eastAsia="方正仿宋_GBK"/>
          <w:sz w:val="32"/>
          <w:szCs w:val="32"/>
          <w:highlight w:val="none"/>
          <w:lang w:val="en-US" w:eastAsia="zh-CN"/>
        </w:rPr>
      </w:pPr>
    </w:p>
    <w:p w14:paraId="196959D3">
      <w:pPr>
        <w:pStyle w:val="5"/>
        <w:jc w:val="center"/>
        <w:rPr>
          <w:rFonts w:hint="eastAsia" w:ascii="方正仿宋_GBK" w:eastAsia="方正仿宋_GBK"/>
          <w:sz w:val="32"/>
          <w:szCs w:val="32"/>
          <w:highlight w:val="none"/>
          <w:lang w:val="en-US" w:eastAsia="zh-CN"/>
        </w:rPr>
      </w:pPr>
    </w:p>
    <w:p w14:paraId="44E4DD8C">
      <w:pPr>
        <w:pStyle w:val="5"/>
        <w:jc w:val="center"/>
        <w:rPr>
          <w:rFonts w:hint="eastAsia" w:ascii="方正仿宋_GBK" w:eastAsia="方正仿宋_GBK"/>
          <w:sz w:val="32"/>
          <w:szCs w:val="32"/>
          <w:highlight w:val="none"/>
          <w:lang w:val="en-US" w:eastAsia="zh-CN"/>
        </w:rPr>
      </w:pPr>
    </w:p>
    <w:p w14:paraId="70CABCE1">
      <w:pPr>
        <w:pStyle w:val="5"/>
        <w:jc w:val="center"/>
        <w:rPr>
          <w:rFonts w:hint="eastAsia" w:ascii="方正仿宋_GBK" w:eastAsia="方正仿宋_GBK"/>
          <w:sz w:val="32"/>
          <w:szCs w:val="32"/>
          <w:highlight w:val="none"/>
          <w:lang w:val="en-US" w:eastAsia="zh-CN"/>
        </w:rPr>
      </w:pPr>
    </w:p>
    <w:p w14:paraId="77861BB5">
      <w:pPr>
        <w:pStyle w:val="5"/>
        <w:jc w:val="center"/>
        <w:rPr>
          <w:rFonts w:hint="eastAsia" w:ascii="方正仿宋_GBK" w:eastAsia="方正仿宋_GBK"/>
          <w:sz w:val="32"/>
          <w:szCs w:val="32"/>
          <w:highlight w:val="none"/>
          <w:lang w:val="en-US" w:eastAsia="zh-CN"/>
        </w:rPr>
      </w:pPr>
    </w:p>
    <w:p w14:paraId="196F49FB">
      <w:pPr>
        <w:pStyle w:val="5"/>
        <w:jc w:val="center"/>
        <w:rPr>
          <w:rFonts w:hint="eastAsia" w:ascii="方正仿宋_GBK" w:eastAsia="方正仿宋_GBK"/>
          <w:sz w:val="32"/>
          <w:szCs w:val="32"/>
          <w:highlight w:val="none"/>
          <w:lang w:val="en-US" w:eastAsia="zh-CN"/>
        </w:rPr>
      </w:pPr>
    </w:p>
    <w:p w14:paraId="24AF7802">
      <w:pPr>
        <w:pStyle w:val="5"/>
        <w:jc w:val="center"/>
        <w:rPr>
          <w:rFonts w:hint="eastAsia" w:ascii="方正仿宋_GBK" w:eastAsia="方正仿宋_GBK"/>
          <w:sz w:val="32"/>
          <w:szCs w:val="32"/>
          <w:highlight w:val="none"/>
          <w:lang w:val="en-US" w:eastAsia="zh-CN"/>
        </w:rPr>
      </w:pPr>
    </w:p>
    <w:p w14:paraId="6F84A41C">
      <w:pPr>
        <w:pStyle w:val="5"/>
        <w:jc w:val="center"/>
        <w:rPr>
          <w:rFonts w:hint="eastAsia" w:ascii="方正仿宋_GBK" w:eastAsia="方正仿宋_GBK"/>
          <w:sz w:val="32"/>
          <w:szCs w:val="32"/>
          <w:highlight w:val="none"/>
          <w:lang w:val="en-US" w:eastAsia="zh-CN"/>
        </w:rPr>
      </w:pPr>
    </w:p>
    <w:p w14:paraId="135B4CBC">
      <w:pPr>
        <w:pStyle w:val="5"/>
        <w:jc w:val="center"/>
        <w:rPr>
          <w:rFonts w:hint="eastAsia" w:ascii="方正仿宋_GBK" w:eastAsia="方正仿宋_GBK"/>
          <w:sz w:val="32"/>
          <w:szCs w:val="32"/>
          <w:highlight w:val="none"/>
          <w:lang w:val="en-US" w:eastAsia="zh-CN"/>
        </w:rPr>
      </w:pPr>
    </w:p>
    <w:p w14:paraId="779E274A">
      <w:pPr>
        <w:pStyle w:val="5"/>
        <w:jc w:val="center"/>
        <w:rPr>
          <w:rFonts w:hint="eastAsia" w:ascii="方正仿宋_GBK" w:eastAsia="方正仿宋_GBK"/>
          <w:sz w:val="32"/>
          <w:szCs w:val="32"/>
          <w:highlight w:val="none"/>
          <w:lang w:val="en-US" w:eastAsia="zh-CN"/>
        </w:rPr>
      </w:pPr>
    </w:p>
    <w:p w14:paraId="1E093CFE">
      <w:pPr>
        <w:pStyle w:val="5"/>
        <w:jc w:val="center"/>
        <w:rPr>
          <w:rFonts w:hint="eastAsia" w:ascii="方正仿宋_GBK" w:eastAsia="方正仿宋_GBK"/>
          <w:sz w:val="32"/>
          <w:szCs w:val="32"/>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4A6652"/>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EAE2BD9"/>
    <w:rsid w:val="0F4D0AAA"/>
    <w:rsid w:val="0F8419BC"/>
    <w:rsid w:val="0F851480"/>
    <w:rsid w:val="0F9718DF"/>
    <w:rsid w:val="0FD01451"/>
    <w:rsid w:val="116E3FA7"/>
    <w:rsid w:val="122D0B62"/>
    <w:rsid w:val="12E91297"/>
    <w:rsid w:val="133D5E0A"/>
    <w:rsid w:val="153C16E7"/>
    <w:rsid w:val="15D4217A"/>
    <w:rsid w:val="18EC242C"/>
    <w:rsid w:val="1922346A"/>
    <w:rsid w:val="1AAE2C67"/>
    <w:rsid w:val="1AF86BE0"/>
    <w:rsid w:val="1B3306B6"/>
    <w:rsid w:val="1BDE0896"/>
    <w:rsid w:val="1C1979BC"/>
    <w:rsid w:val="1CE4012E"/>
    <w:rsid w:val="1CF00EFC"/>
    <w:rsid w:val="1F2F00AB"/>
    <w:rsid w:val="2027068C"/>
    <w:rsid w:val="205210D9"/>
    <w:rsid w:val="20746E51"/>
    <w:rsid w:val="21426D4A"/>
    <w:rsid w:val="215F0650"/>
    <w:rsid w:val="233D75DC"/>
    <w:rsid w:val="236757CC"/>
    <w:rsid w:val="23FB11F4"/>
    <w:rsid w:val="28256D6A"/>
    <w:rsid w:val="28275AF0"/>
    <w:rsid w:val="29AE2A56"/>
    <w:rsid w:val="2C3529EE"/>
    <w:rsid w:val="2CCA628B"/>
    <w:rsid w:val="2F2F3117"/>
    <w:rsid w:val="2FC44243"/>
    <w:rsid w:val="31092EA8"/>
    <w:rsid w:val="31B12793"/>
    <w:rsid w:val="33FB61AD"/>
    <w:rsid w:val="342C6BC9"/>
    <w:rsid w:val="35761799"/>
    <w:rsid w:val="359B4383"/>
    <w:rsid w:val="360845B7"/>
    <w:rsid w:val="36ED77AA"/>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8832656"/>
    <w:rsid w:val="496140CE"/>
    <w:rsid w:val="4AE139DB"/>
    <w:rsid w:val="4B2941E0"/>
    <w:rsid w:val="4BDB0A24"/>
    <w:rsid w:val="4C31315D"/>
    <w:rsid w:val="4F6D75ED"/>
    <w:rsid w:val="51352B6B"/>
    <w:rsid w:val="53A17F68"/>
    <w:rsid w:val="53DB6C22"/>
    <w:rsid w:val="53FB2F26"/>
    <w:rsid w:val="54B6568B"/>
    <w:rsid w:val="55085A60"/>
    <w:rsid w:val="55BB5978"/>
    <w:rsid w:val="59343196"/>
    <w:rsid w:val="599E0097"/>
    <w:rsid w:val="5ADB7D78"/>
    <w:rsid w:val="5BB04DF0"/>
    <w:rsid w:val="5D6C0A93"/>
    <w:rsid w:val="5D915A0E"/>
    <w:rsid w:val="5DBD061A"/>
    <w:rsid w:val="5E932E93"/>
    <w:rsid w:val="5FA4498B"/>
    <w:rsid w:val="60480506"/>
    <w:rsid w:val="60643E84"/>
    <w:rsid w:val="61130716"/>
    <w:rsid w:val="61143219"/>
    <w:rsid w:val="61707CCC"/>
    <w:rsid w:val="61A6052D"/>
    <w:rsid w:val="623E37BE"/>
    <w:rsid w:val="626B6216"/>
    <w:rsid w:val="63814C5E"/>
    <w:rsid w:val="63FA2F2B"/>
    <w:rsid w:val="64077B7B"/>
    <w:rsid w:val="641D2F42"/>
    <w:rsid w:val="651C3DE1"/>
    <w:rsid w:val="66A178F0"/>
    <w:rsid w:val="67CF5844"/>
    <w:rsid w:val="685314B5"/>
    <w:rsid w:val="685968A7"/>
    <w:rsid w:val="69841E39"/>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8E4735"/>
    <w:rsid w:val="74A2126A"/>
    <w:rsid w:val="74EA3555"/>
    <w:rsid w:val="761A5C47"/>
    <w:rsid w:val="777A05E8"/>
    <w:rsid w:val="77DC750A"/>
    <w:rsid w:val="77FA34D6"/>
    <w:rsid w:val="78024143"/>
    <w:rsid w:val="78F54CD1"/>
    <w:rsid w:val="799B64FC"/>
    <w:rsid w:val="7AF0174A"/>
    <w:rsid w:val="7B5C1973"/>
    <w:rsid w:val="7BDE27F0"/>
    <w:rsid w:val="7C6F2CF1"/>
    <w:rsid w:val="7CB244A3"/>
    <w:rsid w:val="7E8C71A6"/>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5439</Words>
  <Characters>5745</Characters>
  <Lines>0</Lines>
  <Paragraphs>0</Paragraphs>
  <TotalTime>22</TotalTime>
  <ScaleCrop>false</ScaleCrop>
  <LinksUpToDate>false</LinksUpToDate>
  <CharactersWithSpaces>6244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2025-09-09T01:32:57Z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5380BEC33EF44493A97CC3A2183368BD_13</vt:lpwstr>
  </property>
  <property fmtid="{D5CDD505-2E9C-101B-9397-08002B2CF9AE}" pid="4" name="KSOTemplateDocerSaveRecord">
    <vt:lpwstr>eyJoZGlkIjoiNzdkNTM4MTkwYTE0Yjk0Y2Y4MjVlZDcwOGViZTQwYjIiLCJ1c2VySWQiOiIxMTc2NDE1MTk0In0=</vt:lpwstr>
  </property>
</Properties>
</file>