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项目名称：HIS系统DG库服务器存储扩容</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项目编号：BSRMYY-YNCG-2026-08017</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项目需求</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color w:val="auto"/>
                <w:sz w:val="32"/>
                <w:szCs w:val="32"/>
                <w:lang w:val="en-US" w:eastAsia="zh-CN"/>
              </w:rPr>
              <w:t>HIS系统DG库服务器存储扩容4.5TB</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17000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17000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17000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26AA5006">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背景：服务器型号为联想 ThinkSystem SR860 V （Linux 内核版本3.10.X），配置 730-8i 2GB 阵列卡一张，600GB SAS *4，1.2TB SAS *4</w:t>
      </w:r>
    </w:p>
    <w:p w14:paraId="5A5FDCA4">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本次扩容目标：增加可用空间不低于6.5TB，扩容过程中提供备份与应急预案</w:t>
      </w:r>
    </w:p>
    <w:p w14:paraId="04C04D81">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配件清单：2.4TB SAS 10K 2.5英寸硬盘 4块；原厂 730-8i 2GB 阵列卡 1张；8盘位背板一块；8盘位SAS连接套件一套</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最高限价17000元。供应商报价为人民币报价，包括但不限于设备费、配套辅材费、运输装卸费、安装调试费、资料装订及邮寄费、税费、保险费、设备计量检测费、质保期内设备保养维护费、验收检测费等完成本项目所需的一切费用。因投标人自身原因造成漏报、少报皆由其自行承担责任，采购人不再补偿。服务期间验收合格前发生的安全责任事故由供应商自行承担。</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8D98BB4">
      <w:pPr>
        <w:pStyle w:val="2"/>
        <w:ind w:firstLine="560" w:firstLineChars="200"/>
        <w:rPr>
          <w:rFonts w:hint="default"/>
          <w:lang w:val="en-US" w:eastAsia="zh-CN"/>
        </w:rPr>
      </w:pPr>
      <w:r>
        <w:rPr>
          <w:rFonts w:hint="eastAsia" w:ascii="方正仿宋_GBK" w:hAnsi="方正仿宋_GBK" w:eastAsia="方正仿宋_GBK" w:cs="方正仿宋_GBK"/>
          <w:color w:val="auto"/>
          <w:sz w:val="28"/>
          <w:szCs w:val="28"/>
          <w:lang w:val="en-US" w:eastAsia="zh-CN"/>
        </w:rPr>
        <w:t>（2）续购需求：预估采购人的其他科室或部门后续也有类似需求，如后续采购相关相同产品，供应商成交价格不得高于此次合同价格。</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（3）培训要求：成交供应商对其提供产品首次使用前进行培训，确保操作员能正确熟练地使用。</w:t>
      </w:r>
    </w:p>
    <w:p w14:paraId="0CA960A7">
      <w:pPr>
        <w:pStyle w:val="2"/>
        <w:ind w:firstLine="560" w:firstLineChars="200"/>
        <w:rPr>
          <w:rFonts w:hint="default"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（4）合同终止情形：设备使用过程中出现安全不良事件、质量故障频发； 合同周期内供应商出现2次及以上供货、履约违约行为； 供应商虚报价格、违反最低价承诺； 供应商存在廉洁违纪、弄虚作假行为； 供应商主动放弃履约、无故拖延维保服务。合同终止后向采购人提供合同金额20%违约金。</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合同签订后3天内完成安装调试。</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61128C1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按照采购招标文件对产品性能及参数逐项验收，验收争议时由采购人邀请第三方机构检测，费用由供应商承担，验收后使用中发现产品质量争议按照验收争议进行处理；产品到货初步验收无异常进行安装调试，安装调试并试运行1个月无异常才作为最终验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100%，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产品质保不低于1年。质保期内非人为损坏免费更换或维修，维修为原厂配件；故障响应要求30分钟电话响应，4小时到达医院处置。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26F6CE84">
      <w:pPr>
        <w:pStyle w:val="2"/>
        <w:ind w:firstLine="562" w:firstLineChars="200"/>
        <w:rPr>
          <w:rFonts w:hint="eastAsia" w:ascii="方正仿宋_GBK" w:hAnsi="方正仿宋_GBK" w:eastAsia="方正仿宋_GBK" w:cs="方正仿宋_GBK"/>
          <w:b/>
          <w:bCs/>
          <w:color w:val="auto"/>
          <w:kern w:val="2"/>
          <w:sz w:val="28"/>
          <w:szCs w:val="28"/>
          <w:lang w:val="en-US" w:eastAsia="zh-CN" w:bidi="ar-SA"/>
        </w:rPr>
      </w:pPr>
      <w:r>
        <w:rPr>
          <w:rFonts w:hint="eastAsia" w:ascii="方正仿宋_GBK" w:hAnsi="方正仿宋_GBK" w:eastAsia="方正仿宋_GBK" w:cs="方正仿宋_GBK"/>
          <w:b/>
          <w:bCs/>
          <w:color w:val="auto"/>
          <w:kern w:val="2"/>
          <w:sz w:val="28"/>
          <w:szCs w:val="28"/>
          <w:lang w:val="en-US" w:eastAsia="zh-CN" w:bidi="ar-SA"/>
        </w:rPr>
        <w:t>7.信息安全责任条款</w:t>
      </w:r>
    </w:p>
    <w:p w14:paraId="3707034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（1）责任范围</w:t>
      </w:r>
    </w:p>
    <w:p w14:paraId="6F5675F5">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供货人保证其提供的产品（含软硬件、驱动程序）及服务不存在已知或应知的恶意代码、未授权后门、隐蔽通道等安全缺陷，且所有操作符合《网络安全法》《数据安全法》及国家强制性标准（如GB/T 22239-2019）。</w:t>
      </w:r>
    </w:p>
    <w:p w14:paraId="4811E63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（2）违约情形</w:t>
      </w:r>
    </w:p>
    <w:p w14:paraId="3EEECC73">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因供货人产品/服务存在以下情形导致采购人发生安全事件（系统中断、数据泄露、恶意攻击扩散等），视为根本违约：</w:t>
      </w:r>
    </w:p>
    <w:p w14:paraId="772B8355">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1.故意植入恶意功能；</w:t>
      </w:r>
    </w:p>
    <w:p w14:paraId="1EA0EA5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2.隐瞒已知安全漏洞且未告知；</w:t>
      </w:r>
    </w:p>
    <w:p w14:paraId="66435B2A">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3.运维操作违反国家强制性安全规范。</w:t>
      </w:r>
    </w:p>
    <w:p w14:paraId="296F021F">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（3）赔偿责任</w:t>
      </w:r>
    </w:p>
    <w:p w14:paraId="1F90DAAB">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发生上述违约时，供货人须承担：</w:t>
      </w:r>
    </w:p>
    <w:p w14:paraId="60CAEA38">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1.基础违约金：合同总额的10%（用于覆盖应急响应、取证评估等基础费用）；</w:t>
      </w:r>
    </w:p>
    <w:p w14:paraId="4B6D158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2.直接损失赔偿：采购人实际遭受的经济损失；</w:t>
      </w:r>
    </w:p>
    <w:p w14:paraId="2E73F959">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3.惩罚性赔偿：若存在主观恶意，追加合同总额20%的赔偿。</w:t>
      </w:r>
    </w:p>
    <w:p w14:paraId="416F1B11">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（4）免责与减责</w:t>
      </w:r>
    </w:p>
    <w:p w14:paraId="390E3835">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1.因采购人未按安全指南使用设备（如未安装补丁、禁用安全功能）导致损失，供货人责任相应减免；</w:t>
      </w:r>
    </w:p>
    <w:p w14:paraId="3D18F753">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2.开源组件或供应链上游漏洞导致的客观风险，供货人及时通报并协助处置的，可免除惩罚性赔偿。</w:t>
      </w:r>
    </w:p>
    <w:p w14:paraId="533F6A0B">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（5）证据规则</w:t>
      </w:r>
    </w:p>
    <w:p w14:paraId="201ED0D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安全事件归责需由重庆市网安部门（市公安局网安总队/市委网信办）通报或国家级网络安全机构（如CNVD、CNNVD）或双方认可的第三方实验室出具鉴定报告。供货人应在收到报告后5个工作日内书面回应，逾期视为认可结论。</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9.违约责任</w:t>
      </w:r>
    </w:p>
    <w:p w14:paraId="07C4D3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（1）质量与安全责任：供货人货物不合规、有设计缺陷或含恶意代码导致采购人损失的，供货人承担全部责任及修复费用；若发生数据/隐私泄露，需退还已付款项并支付合同金额1倍违约金。</w:t>
      </w:r>
    </w:p>
    <w:p w14:paraId="386F74F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（2）逾期违约：延迟交货每日罚合同总额5%；验收不合格或服务不达标限期整改（逾期日罚千分之三）；配套服务缺失每次罚500元</w:t>
      </w:r>
    </w:p>
    <w:p w14:paraId="489531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解除合同与重罚：逾期超3日、整改超3日、服务违约超2次，或出现虚假材料、违反廉洁协议、资质失效、货不对板、年度违约5次等情形，采购人有权拒付/退款并单方解约，供货人通常需承担合同总额30%的违约金</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（4）恶意行为加重处罚：若供货人明知产品有缺陷仍交付或隐瞒不报，采购人解约时供货人需承担项目金额3倍的违约金。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（6）供应商提供的竞标资料不真实的，承担因此给采购人造成的一切损失，同时采购人有权单方面终止合同并将其列为“供应商不良行为记录名单”进行管理。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（7）合同履行期间发生争议双方协商，协商不成向重庆市璧山区人民法院提起诉讼。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10.</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B9388FF">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（12）采购人认为有响应供应商围串标风险，供应商无条件提供原始响应文件电子档（必须和纸质文件内容完全一致）配合采购人进行调查核实。</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无</w:t>
      </w:r>
      <w:r>
        <w:rPr>
          <w:rFonts w:hint="eastAsia" w:ascii="方正仿宋_GBK" w:hAnsi="方正仿宋_GBK" w:eastAsia="方正仿宋_GBK" w:cs="方正仿宋_GBK"/>
          <w:color w:val="auto"/>
          <w:sz w:val="32"/>
          <w:szCs w:val="32"/>
          <w:lang w:val="zh-TW" w:eastAsia="zh-TW"/>
        </w:rPr>
        <w:t>。</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w:t>
      </w:r>
      <w:bookmarkStart w:id="2" w:name="_GoBack"/>
      <w:bookmarkEnd w:id="2"/>
      <w:r>
        <w:rPr>
          <w:rFonts w:hint="eastAsia" w:ascii="仿宋_GB2312" w:hAnsi="宋体" w:eastAsia="仿宋_GB2312"/>
          <w:color w:val="auto"/>
          <w:sz w:val="24"/>
          <w:highlight w:val="none"/>
        </w:rPr>
        <w:t>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647A1E"/>
    <w:rsid w:val="08DA36DA"/>
    <w:rsid w:val="08F1198C"/>
    <w:rsid w:val="08F7358B"/>
    <w:rsid w:val="093E5041"/>
    <w:rsid w:val="097C4781"/>
    <w:rsid w:val="09C01FBF"/>
    <w:rsid w:val="0A4800D1"/>
    <w:rsid w:val="0B792B3E"/>
    <w:rsid w:val="0C480432"/>
    <w:rsid w:val="0C872834"/>
    <w:rsid w:val="0C974041"/>
    <w:rsid w:val="0CCD640E"/>
    <w:rsid w:val="0CE64C8D"/>
    <w:rsid w:val="0DAD773D"/>
    <w:rsid w:val="0DC82D83"/>
    <w:rsid w:val="0DFA6149"/>
    <w:rsid w:val="0E133025"/>
    <w:rsid w:val="0E4B734D"/>
    <w:rsid w:val="0EE213FB"/>
    <w:rsid w:val="0F590216"/>
    <w:rsid w:val="0F8F35E7"/>
    <w:rsid w:val="0FD01451"/>
    <w:rsid w:val="104C32F3"/>
    <w:rsid w:val="11496350"/>
    <w:rsid w:val="122D0B62"/>
    <w:rsid w:val="12586ED9"/>
    <w:rsid w:val="133D5E0A"/>
    <w:rsid w:val="13617751"/>
    <w:rsid w:val="137666E0"/>
    <w:rsid w:val="13CB146C"/>
    <w:rsid w:val="14363136"/>
    <w:rsid w:val="15CF79D4"/>
    <w:rsid w:val="160B0FFC"/>
    <w:rsid w:val="16CD49B3"/>
    <w:rsid w:val="175A630E"/>
    <w:rsid w:val="17812CB3"/>
    <w:rsid w:val="17F71483"/>
    <w:rsid w:val="18D453AE"/>
    <w:rsid w:val="1922346A"/>
    <w:rsid w:val="19990EDC"/>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620475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7C042E"/>
    <w:rsid w:val="646C4200"/>
    <w:rsid w:val="649807F0"/>
    <w:rsid w:val="64AD4E34"/>
    <w:rsid w:val="64C66D2B"/>
    <w:rsid w:val="65035568"/>
    <w:rsid w:val="654A611D"/>
    <w:rsid w:val="668F5CC4"/>
    <w:rsid w:val="66D87569"/>
    <w:rsid w:val="67CF5844"/>
    <w:rsid w:val="68045EB2"/>
    <w:rsid w:val="680C2694"/>
    <w:rsid w:val="682E5ACE"/>
    <w:rsid w:val="68FD311B"/>
    <w:rsid w:val="69A45BFA"/>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6DB2A38"/>
    <w:rsid w:val="770D725E"/>
    <w:rsid w:val="770E4D00"/>
    <w:rsid w:val="78436C2C"/>
    <w:rsid w:val="78CF68D0"/>
    <w:rsid w:val="7AF0174A"/>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8319</Words>
  <Characters>8853</Characters>
  <Lines>0</Lines>
  <Paragraphs>0</Paragraphs>
  <TotalTime>9</TotalTime>
  <ScaleCrop>false</ScaleCrop>
  <LinksUpToDate>false</LinksUpToDate>
  <CharactersWithSpaces>9507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2026-08-14T03:05:44Z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5E8CDFD0609A4A70905E494618411FCA_13</vt:lpwstr>
  </property>
  <property fmtid="{D5CDD505-2E9C-101B-9397-08002B2CF9AE}" pid="4" name="KSOTemplateDocerSaveRecord">
    <vt:lpwstr>eyJoZGlkIjoiZjllNzIxZDc2YmI1MDNjMzU4NWU3ZjdhNjk3N2E2OWYiLCJ1c2VySWQiOiIxNjE2MTQ1MTM5In0=</vt:lpwstr>
  </property>
</Properties>
</file>