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项目名称：一次性纸杯</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项目编号：BSRMYY-YNCG-2025-09014</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3"/>
        <w:tblW w:w="487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2114"/>
        <w:gridCol w:w="1922"/>
        <w:gridCol w:w="1582"/>
        <w:gridCol w:w="3014"/>
      </w:tblGrid>
      <w:tr w14:paraId="12564D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10" w:type="pct"/>
            <w:vAlign w:val="center"/>
          </w:tcPr>
          <w:p w14:paraId="1C253A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099" w:type="pct"/>
            <w:vAlign w:val="center"/>
          </w:tcPr>
          <w:p w14:paraId="6908419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999" w:type="pct"/>
            <w:vAlign w:val="center"/>
          </w:tcPr>
          <w:p w14:paraId="59812C9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年预估用量</w:t>
            </w:r>
          </w:p>
        </w:tc>
        <w:tc>
          <w:tcPr>
            <w:tcW w:w="822" w:type="pct"/>
            <w:vAlign w:val="center"/>
          </w:tcPr>
          <w:p w14:paraId="32AA3CC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567" w:type="pct"/>
            <w:vAlign w:val="center"/>
          </w:tcPr>
          <w:p w14:paraId="0298756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r>
      <w:tr w14:paraId="4AFAA8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2" w:hRule="atLeast"/>
          <w:jc w:val="center"/>
        </w:trPr>
        <w:tc>
          <w:tcPr>
            <w:tcW w:w="510" w:type="pct"/>
            <w:vAlign w:val="center"/>
          </w:tcPr>
          <w:p w14:paraId="6A92BCF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099" w:type="pct"/>
            <w:vAlign w:val="center"/>
          </w:tcPr>
          <w:p w14:paraId="0B1A6DD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一次性纸杯</w:t>
            </w:r>
          </w:p>
        </w:tc>
        <w:tc>
          <w:tcPr>
            <w:tcW w:w="999" w:type="pct"/>
            <w:vAlign w:val="center"/>
          </w:tcPr>
          <w:p w14:paraId="76934AA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500000</w:t>
            </w:r>
          </w:p>
        </w:tc>
        <w:tc>
          <w:tcPr>
            <w:tcW w:w="822" w:type="pct"/>
            <w:vAlign w:val="center"/>
          </w:tcPr>
          <w:p w14:paraId="3786CF9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个</w:t>
            </w:r>
          </w:p>
        </w:tc>
        <w:tc>
          <w:tcPr>
            <w:tcW w:w="1567" w:type="pct"/>
            <w:vAlign w:val="center"/>
          </w:tcPr>
          <w:p w14:paraId="120E980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0.098</w:t>
            </w:r>
          </w:p>
        </w:tc>
      </w:tr>
      <w:tr w14:paraId="60C9D4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2" w:hRule="atLeast"/>
          <w:jc w:val="center"/>
        </w:trPr>
        <w:tc>
          <w:tcPr>
            <w:tcW w:w="5000" w:type="pct"/>
            <w:gridSpan w:val="5"/>
            <w:vAlign w:val="center"/>
          </w:tcPr>
          <w:p w14:paraId="61C55A1F">
            <w:pPr>
              <w:pageBreakBefore w:val="0"/>
              <w:widowControl/>
              <w:kinsoku/>
              <w:wordWrap/>
              <w:overflowPunct/>
              <w:topLinePunct w:val="0"/>
              <w:autoSpaceDE/>
              <w:autoSpaceDN/>
              <w:bidi w:val="0"/>
              <w:adjustRightInd/>
              <w:snapToGrid/>
              <w:spacing w:line="240" w:lineRule="auto"/>
              <w:ind w:firstLine="0" w:firstLineChars="0"/>
              <w:jc w:val="right"/>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按年预估用量合计总价为49000元</w:t>
            </w:r>
          </w:p>
        </w:tc>
      </w:tr>
    </w:tbl>
    <w:p w14:paraId="4CA9560B">
      <w:pPr>
        <w:pStyle w:val="25"/>
        <w:numPr>
          <w:ilvl w:val="0"/>
          <w:numId w:val="0"/>
        </w:numP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sz w:val="28"/>
          <w:szCs w:val="28"/>
          <w:highlight w:val="none"/>
          <w:lang w:val="en-US" w:eastAsia="zh-CN"/>
        </w:rPr>
        <w:t>备注：本项目招采1年单价，年预估用量不做采购承诺，以实际验收用量据实结算。</w:t>
      </w:r>
    </w:p>
    <w:p w14:paraId="73EE7FE2">
      <w:pPr>
        <w:pStyle w:val="25"/>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14"/>
        <w:gridCol w:w="1772"/>
        <w:gridCol w:w="7668"/>
      </w:tblGrid>
      <w:tr w14:paraId="0948E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10" w:type="pct"/>
            <w:vAlign w:val="center"/>
          </w:tcPr>
          <w:p w14:paraId="1471F3D3">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899" w:type="pct"/>
            <w:vAlign w:val="center"/>
          </w:tcPr>
          <w:p w14:paraId="781E349F">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3890" w:type="pct"/>
            <w:vAlign w:val="center"/>
          </w:tcPr>
          <w:p w14:paraId="41DA3A15">
            <w:pPr>
              <w:pStyle w:val="25"/>
              <w:numPr>
                <w:ilvl w:val="0"/>
                <w:numId w:val="0"/>
              </w:numPr>
              <w:jc w:val="center"/>
              <w:textAlignment w:val="baseline"/>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参数要求</w:t>
            </w:r>
          </w:p>
        </w:tc>
      </w:tr>
      <w:tr w14:paraId="63EB2C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6" w:hRule="atLeast"/>
        </w:trPr>
        <w:tc>
          <w:tcPr>
            <w:tcW w:w="210" w:type="pct"/>
            <w:shd w:val="clear" w:color="auto" w:fill="auto"/>
            <w:vAlign w:val="center"/>
          </w:tcPr>
          <w:p w14:paraId="6303FD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899" w:type="pct"/>
            <w:shd w:val="clear" w:color="auto" w:fill="auto"/>
            <w:vAlign w:val="center"/>
          </w:tcPr>
          <w:p w14:paraId="5E5ACB0C">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一次性纸杯</w:t>
            </w:r>
          </w:p>
        </w:tc>
        <w:tc>
          <w:tcPr>
            <w:tcW w:w="3890" w:type="pct"/>
            <w:shd w:val="clear" w:color="auto" w:fill="auto"/>
            <w:vAlign w:val="center"/>
          </w:tcPr>
          <w:p w14:paraId="341E61AF">
            <w:pPr>
              <w:pStyle w:val="25"/>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规格：上口直径63mm、下口直径45.5mm、高度75mm；</w:t>
            </w:r>
          </w:p>
          <w:p w14:paraId="0A1C3133">
            <w:pPr>
              <w:pStyle w:val="25"/>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外观：彩色印刷医院名称及标识（按照采购人要求）</w:t>
            </w:r>
          </w:p>
          <w:p w14:paraId="52022118">
            <w:pPr>
              <w:pStyle w:val="25"/>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材质：183克纸基，食品级PE单淋膜，要求耐高温、不渗透、无异味、不变形。纸杯质量须符合国家标准（GB/T27590-2022)。</w:t>
            </w:r>
          </w:p>
          <w:p w14:paraId="7CF60A04">
            <w:pPr>
              <w:pStyle w:val="25"/>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主要性能：直接饮用</w:t>
            </w:r>
          </w:p>
          <w:p w14:paraId="7C10D548">
            <w:pPr>
              <w:pStyle w:val="25"/>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用途范围：用于盛装冷、热水</w:t>
            </w:r>
          </w:p>
          <w:p w14:paraId="26965FE4">
            <w:pPr>
              <w:pStyle w:val="25"/>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环保节能要求：不含有毒有害成分</w:t>
            </w:r>
          </w:p>
          <w:p w14:paraId="4987E45B">
            <w:pPr>
              <w:pStyle w:val="25"/>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8"/>
                <w:szCs w:val="28"/>
                <w:highlight w:val="none"/>
                <w:lang w:val="en-US" w:eastAsia="zh-CN"/>
              </w:rPr>
              <w:t>质保期限：不少于3年</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b/>
          <w:bCs/>
          <w:color w:val="auto"/>
          <w:sz w:val="32"/>
          <w:szCs w:val="32"/>
          <w:highlight w:val="none"/>
          <w:lang w:val="en-US" w:eastAsia="zh-CN"/>
        </w:rPr>
      </w:pPr>
      <w:bookmarkStart w:id="7" w:name="_GoBack"/>
      <w:r>
        <w:rPr>
          <w:rFonts w:hint="eastAsia" w:ascii="方正仿宋_GBK" w:hAnsi="方正仿宋_GBK" w:eastAsia="方正仿宋_GBK" w:cs="方正仿宋_GBK"/>
          <w:b/>
          <w:bCs/>
          <w:color w:val="auto"/>
          <w:sz w:val="32"/>
          <w:szCs w:val="32"/>
          <w:highlight w:val="none"/>
          <w:lang w:val="en-US" w:eastAsia="zh-CN"/>
        </w:rPr>
        <w:t>特定资格条件：</w:t>
      </w:r>
    </w:p>
    <w:p w14:paraId="6839535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按照法律法规相关规定。</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191F22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本项目招采1年单价，</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w:t>
      </w:r>
      <w:r>
        <w:rPr>
          <w:rFonts w:hint="eastAsia" w:ascii="方正仿宋_GBK" w:hAnsi="方正仿宋_GBK" w:eastAsia="方正仿宋_GBK" w:cs="方正仿宋_GBK"/>
          <w:b w:val="0"/>
          <w:color w:val="auto"/>
          <w:kern w:val="0"/>
          <w:sz w:val="32"/>
          <w:szCs w:val="32"/>
          <w:highlight w:val="none"/>
          <w:lang w:val="en-US" w:eastAsia="zh-CN" w:bidi="ar-SA"/>
        </w:rPr>
        <w:t>包括但不限于货款、运输装卸、质保期维护保养费、资料装订及邮寄费、税费、保险费、验收检测费、</w:t>
      </w:r>
      <w:r>
        <w:rPr>
          <w:rFonts w:hint="eastAsia" w:ascii="方正仿宋_GBK" w:hAnsi="方正仿宋_GBK" w:eastAsia="方正仿宋_GBK" w:cs="方正仿宋_GBK"/>
          <w:b w:val="0"/>
          <w:bCs w:val="0"/>
          <w:color w:val="auto"/>
          <w:kern w:val="0"/>
          <w:sz w:val="32"/>
          <w:szCs w:val="32"/>
          <w:highlight w:val="none"/>
          <w:lang w:val="en-US" w:eastAsia="zh-CN" w:bidi="ar-SA"/>
        </w:rPr>
        <w:t>培训费</w:t>
      </w:r>
      <w:r>
        <w:rPr>
          <w:rFonts w:hint="eastAsia" w:ascii="方正仿宋_GBK" w:hAnsi="方正仿宋_GBK" w:eastAsia="方正仿宋_GBK" w:cs="方正仿宋_GBK"/>
          <w:b w:val="0"/>
          <w:color w:val="auto"/>
          <w:kern w:val="0"/>
          <w:sz w:val="32"/>
          <w:szCs w:val="32"/>
          <w:highlight w:val="none"/>
          <w:lang w:val="en-US" w:eastAsia="zh-CN" w:bidi="ar-SA"/>
        </w:rPr>
        <w:t>等完成本项目所需的一切费用。因成交供应商自身原因造成漏报、少报皆由其自行承担责任，采购人不再补偿</w:t>
      </w:r>
      <w:r>
        <w:rPr>
          <w:rFonts w:hint="eastAsia" w:ascii="方正仿宋_GBK" w:hAnsi="方正仿宋_GBK" w:eastAsia="方正仿宋_GBK" w:cs="方正仿宋_GBK"/>
          <w:color w:val="auto"/>
          <w:kern w:val="0"/>
          <w:sz w:val="32"/>
          <w:szCs w:val="32"/>
          <w:highlight w:val="none"/>
          <w:lang w:val="en-US" w:eastAsia="zh-CN"/>
        </w:rPr>
        <w:t>。</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及联系方式，不得实施商业贿赂等不良行为。合同签订前，供应商应向采购人提供至少十个样品。</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中选后，一般情况接采购人通知后7天完成产品交付，特殊情况10天完成。</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1FE0BCB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验收合格后按季度据实结算，付款时供应商提供发票、验收单、送货单等。</w:t>
      </w:r>
    </w:p>
    <w:p w14:paraId="0A9C908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12E8023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到货后确认产品外观、规格、性能等参数符合招标文件要求作为初步验收，产品试用1个月无异常才作为最终验收。验收及使用中发现产品质量争议按照验收争议进行处理；验收争议时由采购人邀请第三方机构检测，费用由供应商承担。</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（1）生产日期要求：送货产品须为生产日期1年内的全新产品。</w:t>
      </w:r>
    </w:p>
    <w:p w14:paraId="125835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（2）质保期限：产品质保期不少于3年（时间从双方验收确认签字入库起开始计算），质保期内非人为损坏免费更换。</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（3）故障响应：产品出现任何故障，供应商应30分钟提供电话响应，4小时到达医院处置。</w:t>
      </w:r>
    </w:p>
    <w:p w14:paraId="7051B75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（4）培训要求：产品投入使用前，应进行至少1次培训，要求具体使用人会操作。</w:t>
      </w:r>
    </w:p>
    <w:p w14:paraId="6B24EF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7.履约保证金</w:t>
      </w:r>
    </w:p>
    <w:p w14:paraId="7FE53F2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8.违约责任</w:t>
      </w:r>
    </w:p>
    <w:p w14:paraId="65A0B39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供应商未按采购人要求时限送货，每延迟1日，供应商应向采购人支付500元违约金，超过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20</w:t>
      </w:r>
      <w:r>
        <w:rPr>
          <w:rFonts w:hint="eastAsia" w:ascii="方正仿宋_GBK" w:hAnsi="方正仿宋_GBK" w:eastAsia="方正仿宋_GBK" w:cs="方正仿宋_GBK"/>
          <w:color w:val="auto"/>
          <w:kern w:val="0"/>
          <w:sz w:val="32"/>
          <w:szCs w:val="32"/>
          <w:highlight w:val="none"/>
          <w:lang w:val="en-US" w:eastAsia="zh-CN"/>
        </w:rPr>
        <w:t>日未能交付，采购人有权单方面解除合同，并要求供应商承担合同总额30%的违约金；合同期内如供应商出现2次及以上违约送货行为，采购人有权单方解除合同，并要求供应商承担合同总额30%的违约金；项目验收不合格或使用中发现产品质量缺陷，采购人有权要求供应商整改，整改期限为10日，整改期限届满仍未完成的供应商每日支付合同总金额千分之三的违约金，超过</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20</w:t>
      </w:r>
      <w:r>
        <w:rPr>
          <w:rFonts w:hint="eastAsia" w:ascii="方正仿宋_GBK" w:hAnsi="方正仿宋_GBK" w:eastAsia="方正仿宋_GBK" w:cs="方正仿宋_GBK"/>
          <w:color w:val="auto"/>
          <w:kern w:val="0"/>
          <w:sz w:val="32"/>
          <w:szCs w:val="32"/>
          <w:highlight w:val="none"/>
          <w:lang w:val="en-US" w:eastAsia="zh-CN"/>
        </w:rPr>
        <w:t>日未能完成整改，采购人有权解除合同，并要求供应商承担合同总额30%的违约金，已经付款的供应商应全款退还采购人已经支付的款项；未按配套服务要求提供服务的，供应商将承担200元/次的违约金；发生与产品质量相关的不良事件，除免费更换全批次产品外，每次扣罚产品金额两倍的违约金。</w:t>
      </w:r>
    </w:p>
    <w:p w14:paraId="338B967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2011FF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供应商及其提供服务发生泄漏医院数据的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77F9B44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因供应商提供的产品及服务原因引发纠纷、造成</w:t>
      </w:r>
      <w:r>
        <w:rPr>
          <w:rFonts w:hint="eastAsia" w:ascii="方正仿宋_GBK" w:hAnsi="方正仿宋_GBK" w:eastAsia="方正仿宋_GBK" w:cs="方正仿宋_GBK"/>
          <w:color w:val="auto"/>
          <w:sz w:val="32"/>
          <w:szCs w:val="32"/>
          <w:highlight w:val="none"/>
          <w:lang w:val="en-US" w:eastAsia="zh-CN"/>
        </w:rPr>
        <w:t>采购人损失、受到处罚的（如供应商拒绝履约、在提供产品及服务过程中损害采购人利益、供应商违纪违法行为、供应商提供产品及服务引发安全问题、产品故障问题供应商未及时响应造成严重后果等情形），应赔偿对采购人造成的直接和间接损失全额损失及承担相应法律责任。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9.合同终止情形</w:t>
      </w:r>
    </w:p>
    <w:p w14:paraId="1694F3D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产品出现不良事件；合同周期内供应商出现2次及以上违约送货行为；供应商廉洁违纪行为；供应商主动放弃等。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6D94267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仿宋" w:hAnsi="仿宋" w:eastAsia="仿宋" w:cs="仿宋"/>
          <w:b/>
          <w:bCs/>
          <w:color w:val="auto"/>
          <w:sz w:val="28"/>
          <w:szCs w:val="21"/>
          <w:highlight w:val="none"/>
          <w:lang w:val="en-US" w:eastAsia="zh-CN"/>
        </w:rPr>
      </w:pPr>
      <w:r>
        <w:rPr>
          <w:rFonts w:hint="eastAsia" w:ascii="方正仿宋_GBK" w:hAnsi="方正仿宋_GBK" w:eastAsia="方正仿宋_GBK" w:cs="方正仿宋_GBK"/>
          <w:color w:val="auto"/>
          <w:sz w:val="32"/>
          <w:szCs w:val="32"/>
          <w:highlight w:val="none"/>
          <w:lang w:val="en-US" w:eastAsia="zh-CN"/>
        </w:rPr>
        <w:t>按照法律法规相关规定。</w:t>
      </w: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747"/>
      <w:bookmarkStart w:id="1" w:name="_Toc128229304"/>
      <w:bookmarkStart w:id="2" w:name="_Toc173677399"/>
      <w:bookmarkStart w:id="3" w:name="_Toc237057793"/>
      <w:bookmarkStart w:id="4" w:name="_Toc175017344"/>
      <w:bookmarkStart w:id="5" w:name="_Toc156196472"/>
      <w:bookmarkStart w:id="6" w:name="_Toc128014297"/>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3"/>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愿意按照询价采购文件中的一切要求，提供本项目的产品，按照年预估用量报价为人民币大写：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元整，</w:t>
      </w:r>
      <w:r>
        <w:rPr>
          <w:rFonts w:hint="eastAsia" w:ascii="方正仿宋_GBK" w:hAnsi="方正仿宋_GBK" w:eastAsia="方正仿宋_GBK" w:cs="方正仿宋_GBK"/>
          <w:sz w:val="32"/>
          <w:szCs w:val="32"/>
          <w:highlight w:val="none"/>
          <w:lang w:val="en-US"/>
        </w:rPr>
        <w:t>人民币小写：</w:t>
      </w:r>
      <w:r>
        <w:rPr>
          <w:rFonts w:hint="eastAsia" w:ascii="方正仿宋_GBK" w:hAnsi="方正仿宋_GBK" w:eastAsia="方正仿宋_GBK" w:cs="方正仿宋_GBK"/>
          <w:sz w:val="32"/>
          <w:szCs w:val="32"/>
          <w:highlight w:val="none"/>
          <w:u w:val="single"/>
          <w:lang w:val="en-US"/>
        </w:rPr>
        <w:t xml:space="preserve">     </w:t>
      </w:r>
      <w:r>
        <w:rPr>
          <w:rFonts w:hint="eastAsia" w:ascii="方正仿宋_GBK" w:hAnsi="方正仿宋_GBK" w:eastAsia="方正仿宋_GBK" w:cs="方正仿宋_GBK"/>
          <w:sz w:val="32"/>
          <w:szCs w:val="32"/>
          <w:highlight w:val="none"/>
          <w:lang w:val="en-US"/>
        </w:rPr>
        <w:t>元</w:t>
      </w:r>
      <w:r>
        <w:rPr>
          <w:rFonts w:hint="eastAsia" w:ascii="方正仿宋_GBK" w:hAnsi="方正仿宋_GBK" w:eastAsia="方正仿宋_GBK" w:cs="方正仿宋_GBK"/>
          <w:sz w:val="32"/>
          <w:szCs w:val="32"/>
          <w:highlight w:val="none"/>
          <w:lang w:val="en-US" w:eastAsia="zh-CN"/>
        </w:rPr>
        <w:t>。</w:t>
      </w:r>
    </w:p>
    <w:p w14:paraId="3B421839">
      <w:pPr>
        <w:pStyle w:val="9"/>
        <w:numPr>
          <w:ilvl w:val="0"/>
          <w:numId w:val="3"/>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1"/>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FDEF1A3">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投标产品相关资料（如产品说明书、检测报告等）</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宋体"/>
          <w:sz w:val="30"/>
          <w:szCs w:val="30"/>
          <w:highlight w:val="none"/>
          <w:lang w:eastAsia="zh-CN"/>
        </w:rPr>
        <w:t>生产日期、</w:t>
      </w:r>
      <w:r>
        <w:rPr>
          <w:rFonts w:hint="eastAsia" w:ascii="微软雅黑" w:hAnsi="微软雅黑" w:eastAsia="微软雅黑" w:cs="___WRD_EMBED_SUB_53"/>
          <w:sz w:val="30"/>
          <w:szCs w:val="30"/>
          <w:highlight w:val="none"/>
        </w:rPr>
        <w:t>质保期、故障响应</w:t>
      </w:r>
      <w:r>
        <w:rPr>
          <w:rFonts w:hint="eastAsia" w:ascii="微软雅黑" w:hAnsi="微软雅黑" w:eastAsia="微软雅黑" w:cs="___WRD_EMBED_SUB_53"/>
          <w:sz w:val="30"/>
          <w:szCs w:val="30"/>
          <w:highlight w:val="none"/>
          <w:lang w:eastAsia="zh-CN"/>
        </w:rPr>
        <w:t>、</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49BCD535">
      <w:pPr>
        <w:rPr>
          <w:rFonts w:hint="eastAsia" w:ascii="仿宋_GB2312" w:hAnsi="宋体" w:eastAsia="仿宋_GB2312"/>
          <w:b/>
          <w:snapToGrid w:val="0"/>
          <w:color w:val="auto"/>
          <w:kern w:val="0"/>
          <w:sz w:val="40"/>
          <w:szCs w:val="28"/>
          <w:highlight w:val="none"/>
          <w:lang w:val="en-US" w:eastAsia="zh-CN"/>
        </w:rPr>
      </w:pPr>
    </w:p>
    <w:p w14:paraId="10C7348B">
      <w:pPr>
        <w:rPr>
          <w:rFonts w:hint="eastAsia" w:ascii="仿宋_GB2312" w:hAnsi="宋体" w:eastAsia="仿宋_GB2312"/>
          <w:b/>
          <w:snapToGrid w:val="0"/>
          <w:color w:val="auto"/>
          <w:kern w:val="0"/>
          <w:sz w:val="40"/>
          <w:szCs w:val="28"/>
          <w:highlight w:val="none"/>
          <w:lang w:val="en-US" w:eastAsia="zh-CN"/>
        </w:rPr>
      </w:pPr>
    </w:p>
    <w:p w14:paraId="241DB76C">
      <w:pPr>
        <w:rPr>
          <w:rFonts w:hint="eastAsia" w:ascii="仿宋_GB2312" w:hAnsi="宋体" w:eastAsia="仿宋_GB2312"/>
          <w:b/>
          <w:snapToGrid w:val="0"/>
          <w:color w:val="auto"/>
          <w:kern w:val="0"/>
          <w:sz w:val="40"/>
          <w:szCs w:val="28"/>
          <w:highlight w:val="none"/>
          <w:lang w:val="en-US" w:eastAsia="zh-CN"/>
        </w:rPr>
      </w:pPr>
    </w:p>
    <w:p w14:paraId="471A2B13">
      <w:pPr>
        <w:rPr>
          <w:rFonts w:hint="eastAsia" w:ascii="仿宋_GB2312" w:hAnsi="宋体" w:eastAsia="仿宋_GB2312"/>
          <w:b/>
          <w:snapToGrid w:val="0"/>
          <w:color w:val="auto"/>
          <w:kern w:val="0"/>
          <w:sz w:val="40"/>
          <w:szCs w:val="28"/>
          <w:highlight w:val="none"/>
          <w:lang w:val="en-US" w:eastAsia="zh-CN"/>
        </w:rPr>
      </w:pPr>
    </w:p>
    <w:p w14:paraId="6BFCD337">
      <w:pPr>
        <w:rPr>
          <w:rFonts w:hint="eastAsia" w:ascii="仿宋_GB2312" w:hAnsi="宋体" w:eastAsia="仿宋_GB2312"/>
          <w:b/>
          <w:snapToGrid w:val="0"/>
          <w:color w:val="auto"/>
          <w:kern w:val="0"/>
          <w:sz w:val="40"/>
          <w:szCs w:val="28"/>
          <w:highlight w:val="none"/>
          <w:lang w:val="en-US" w:eastAsia="zh-CN"/>
        </w:rPr>
      </w:pPr>
    </w:p>
    <w:p w14:paraId="76AF04BE">
      <w:pPr>
        <w:rPr>
          <w:rFonts w:hint="eastAsia" w:ascii="仿宋_GB2312" w:hAnsi="宋体" w:eastAsia="仿宋_GB2312"/>
          <w:b/>
          <w:snapToGrid w:val="0"/>
          <w:color w:val="auto"/>
          <w:kern w:val="0"/>
          <w:sz w:val="40"/>
          <w:szCs w:val="28"/>
          <w:highlight w:val="none"/>
          <w:lang w:val="en-US" w:eastAsia="zh-CN"/>
        </w:rPr>
      </w:pPr>
    </w:p>
    <w:p w14:paraId="57925C76">
      <w:pPr>
        <w:rPr>
          <w:rFonts w:hint="eastAsia" w:ascii="仿宋_GB2312" w:hAnsi="宋体" w:eastAsia="仿宋_GB2312"/>
          <w:b/>
          <w:snapToGrid w:val="0"/>
          <w:color w:val="auto"/>
          <w:kern w:val="0"/>
          <w:sz w:val="40"/>
          <w:szCs w:val="28"/>
          <w:highlight w:val="none"/>
          <w:lang w:val="en-US" w:eastAsia="zh-CN"/>
        </w:rPr>
      </w:pPr>
    </w:p>
    <w:p w14:paraId="7FEC801E">
      <w:pPr>
        <w:rPr>
          <w:rFonts w:hint="eastAsia" w:ascii="仿宋_GB2312" w:hAnsi="宋体" w:eastAsia="仿宋_GB2312"/>
          <w:b/>
          <w:snapToGrid w:val="0"/>
          <w:color w:val="auto"/>
          <w:kern w:val="0"/>
          <w:sz w:val="40"/>
          <w:szCs w:val="28"/>
          <w:highlight w:val="none"/>
          <w:lang w:val="en-US" w:eastAsia="zh-CN"/>
        </w:rPr>
      </w:pPr>
    </w:p>
    <w:p w14:paraId="71A28115">
      <w:pPr>
        <w:rPr>
          <w:rFonts w:hint="eastAsia" w:ascii="仿宋_GB2312" w:hAnsi="宋体" w:eastAsia="仿宋_GB2312"/>
          <w:b/>
          <w:snapToGrid w:val="0"/>
          <w:color w:val="auto"/>
          <w:kern w:val="0"/>
          <w:sz w:val="40"/>
          <w:szCs w:val="28"/>
          <w:highlight w:val="none"/>
          <w:lang w:val="en-US" w:eastAsia="zh-CN"/>
        </w:rPr>
      </w:pPr>
    </w:p>
    <w:p w14:paraId="2756EDA2">
      <w:pPr>
        <w:rPr>
          <w:rFonts w:hint="eastAsia" w:ascii="仿宋_GB2312" w:hAnsi="宋体" w:eastAsia="仿宋_GB2312"/>
          <w:b/>
          <w:snapToGrid w:val="0"/>
          <w:color w:val="auto"/>
          <w:kern w:val="0"/>
          <w:sz w:val="40"/>
          <w:szCs w:val="28"/>
          <w:highlight w:val="none"/>
          <w:lang w:val="en-US" w:eastAsia="zh-CN"/>
        </w:rPr>
      </w:pPr>
    </w:p>
    <w:p w14:paraId="31F5A486">
      <w:pPr>
        <w:rPr>
          <w:rFonts w:hint="eastAsia" w:ascii="仿宋_GB2312" w:hAnsi="宋体" w:eastAsia="仿宋_GB2312"/>
          <w:b/>
          <w:snapToGrid w:val="0"/>
          <w:color w:val="auto"/>
          <w:kern w:val="0"/>
          <w:sz w:val="40"/>
          <w:szCs w:val="28"/>
          <w:highlight w:val="none"/>
          <w:lang w:val="en-US" w:eastAsia="zh-CN"/>
        </w:rPr>
      </w:pPr>
    </w:p>
    <w:p w14:paraId="477F2D1D">
      <w:pPr>
        <w:rPr>
          <w:rFonts w:hint="eastAsia" w:ascii="仿宋_GB2312" w:hAnsi="宋体" w:eastAsia="仿宋_GB2312"/>
          <w:b/>
          <w:snapToGrid w:val="0"/>
          <w:color w:val="auto"/>
          <w:kern w:val="0"/>
          <w:sz w:val="40"/>
          <w:szCs w:val="28"/>
          <w:highlight w:val="none"/>
          <w:lang w:val="en-US" w:eastAsia="zh-CN"/>
        </w:rPr>
      </w:pPr>
    </w:p>
    <w:p w14:paraId="27FAD3AC">
      <w:pPr>
        <w:rPr>
          <w:rFonts w:hint="eastAsia" w:ascii="仿宋_GB2312" w:hAnsi="宋体" w:eastAsia="仿宋_GB2312"/>
          <w:b/>
          <w:snapToGrid w:val="0"/>
          <w:color w:val="auto"/>
          <w:kern w:val="0"/>
          <w:sz w:val="40"/>
          <w:szCs w:val="28"/>
          <w:highlight w:val="none"/>
          <w:lang w:val="en-US" w:eastAsia="zh-CN"/>
        </w:rPr>
      </w:pPr>
    </w:p>
    <w:p w14:paraId="57BA44D0">
      <w:pPr>
        <w:rPr>
          <w:rFonts w:hint="eastAsia" w:ascii="仿宋_GB2312" w:hAnsi="宋体" w:eastAsia="仿宋_GB2312"/>
          <w:b/>
          <w:snapToGrid w:val="0"/>
          <w:color w:val="auto"/>
          <w:kern w:val="0"/>
          <w:sz w:val="40"/>
          <w:szCs w:val="28"/>
          <w:highlight w:val="none"/>
          <w:lang w:val="en-US" w:eastAsia="zh-CN"/>
        </w:rPr>
      </w:pPr>
    </w:p>
    <w:p w14:paraId="6177F22D">
      <w:pPr>
        <w:rPr>
          <w:rFonts w:hint="eastAsia" w:ascii="仿宋_GB2312" w:hAnsi="宋体" w:eastAsia="仿宋_GB2312"/>
          <w:b/>
          <w:snapToGrid w:val="0"/>
          <w:color w:val="auto"/>
          <w:kern w:val="0"/>
          <w:sz w:val="40"/>
          <w:szCs w:val="28"/>
          <w:highlight w:val="none"/>
          <w:lang w:val="en-US" w:eastAsia="zh-CN"/>
        </w:rPr>
      </w:pPr>
    </w:p>
    <w:p w14:paraId="367A8E93">
      <w:pPr>
        <w:rPr>
          <w:rFonts w:hint="eastAsia" w:ascii="仿宋_GB2312" w:hAnsi="宋体" w:eastAsia="仿宋_GB2312"/>
          <w:b/>
          <w:snapToGrid w:val="0"/>
          <w:color w:val="auto"/>
          <w:kern w:val="0"/>
          <w:sz w:val="40"/>
          <w:szCs w:val="28"/>
          <w:highlight w:val="none"/>
          <w:lang w:val="en-US" w:eastAsia="zh-CN"/>
        </w:rPr>
      </w:pPr>
    </w:p>
    <w:p w14:paraId="7558D603">
      <w:pPr>
        <w:rPr>
          <w:rFonts w:hint="eastAsia" w:ascii="仿宋_GB2312" w:hAnsi="宋体" w:eastAsia="仿宋_GB2312"/>
          <w:b/>
          <w:snapToGrid w:val="0"/>
          <w:color w:val="auto"/>
          <w:kern w:val="0"/>
          <w:sz w:val="40"/>
          <w:szCs w:val="28"/>
          <w:highlight w:val="none"/>
          <w:lang w:val="en-US" w:eastAsia="zh-CN"/>
        </w:rPr>
      </w:pPr>
    </w:p>
    <w:p w14:paraId="0711F7FF">
      <w:pPr>
        <w:pStyle w:val="5"/>
        <w:jc w:val="center"/>
        <w:rPr>
          <w:rFonts w:hint="eastAsia" w:ascii="仿宋_GB2312" w:hAnsi="宋体" w:eastAsia="仿宋_GB2312"/>
          <w:b/>
          <w:snapToGrid w:val="0"/>
          <w:color w:val="auto"/>
          <w:kern w:val="0"/>
          <w:sz w:val="40"/>
          <w:szCs w:val="28"/>
          <w:highlight w:val="none"/>
          <w:lang w:val="en-US" w:eastAsia="zh-CN"/>
        </w:rPr>
      </w:pP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bookmarkEnd w:id="7"/>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4A6652"/>
    <w:rsid w:val="015B6D6E"/>
    <w:rsid w:val="03CE68FB"/>
    <w:rsid w:val="041961A8"/>
    <w:rsid w:val="04C70F47"/>
    <w:rsid w:val="056E5276"/>
    <w:rsid w:val="06FB539B"/>
    <w:rsid w:val="07F82B6D"/>
    <w:rsid w:val="08BF2007"/>
    <w:rsid w:val="0B993AA9"/>
    <w:rsid w:val="0C872834"/>
    <w:rsid w:val="0C974041"/>
    <w:rsid w:val="0CE64C8D"/>
    <w:rsid w:val="0E440BB0"/>
    <w:rsid w:val="0E6637FD"/>
    <w:rsid w:val="0E6753E5"/>
    <w:rsid w:val="0E9F1F75"/>
    <w:rsid w:val="0EAE2BD9"/>
    <w:rsid w:val="0F4D0AAA"/>
    <w:rsid w:val="0F8419BC"/>
    <w:rsid w:val="0F851480"/>
    <w:rsid w:val="0F9718DF"/>
    <w:rsid w:val="0FD01451"/>
    <w:rsid w:val="116E3FA7"/>
    <w:rsid w:val="122D0B62"/>
    <w:rsid w:val="133D5E0A"/>
    <w:rsid w:val="153C16E7"/>
    <w:rsid w:val="15D4217A"/>
    <w:rsid w:val="18EC242C"/>
    <w:rsid w:val="1922346A"/>
    <w:rsid w:val="1AAE2C67"/>
    <w:rsid w:val="1AF86BE0"/>
    <w:rsid w:val="1B3306B6"/>
    <w:rsid w:val="1BDE0896"/>
    <w:rsid w:val="1C1979BC"/>
    <w:rsid w:val="1CE4012E"/>
    <w:rsid w:val="1CF00EFC"/>
    <w:rsid w:val="1F2F00AB"/>
    <w:rsid w:val="2027068C"/>
    <w:rsid w:val="205210D9"/>
    <w:rsid w:val="20746E51"/>
    <w:rsid w:val="21426D4A"/>
    <w:rsid w:val="215F0650"/>
    <w:rsid w:val="233D75DC"/>
    <w:rsid w:val="236757CC"/>
    <w:rsid w:val="23FB11F4"/>
    <w:rsid w:val="28256D6A"/>
    <w:rsid w:val="28275AF0"/>
    <w:rsid w:val="289006EE"/>
    <w:rsid w:val="29AE2A56"/>
    <w:rsid w:val="2A69746B"/>
    <w:rsid w:val="2C3529EE"/>
    <w:rsid w:val="2CCA628B"/>
    <w:rsid w:val="2F2F3117"/>
    <w:rsid w:val="2FC44243"/>
    <w:rsid w:val="31092EA8"/>
    <w:rsid w:val="31B12793"/>
    <w:rsid w:val="33FB61AD"/>
    <w:rsid w:val="342C6BC9"/>
    <w:rsid w:val="35761799"/>
    <w:rsid w:val="359B4383"/>
    <w:rsid w:val="35CE1BB1"/>
    <w:rsid w:val="360845B7"/>
    <w:rsid w:val="376E6279"/>
    <w:rsid w:val="38A14340"/>
    <w:rsid w:val="396A2364"/>
    <w:rsid w:val="3A1D4990"/>
    <w:rsid w:val="3A6A181A"/>
    <w:rsid w:val="3A800389"/>
    <w:rsid w:val="3D485EC4"/>
    <w:rsid w:val="3D8263F7"/>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C6F310B"/>
    <w:rsid w:val="4F6D75ED"/>
    <w:rsid w:val="51352B6B"/>
    <w:rsid w:val="53A17F68"/>
    <w:rsid w:val="53DB6C22"/>
    <w:rsid w:val="54B6568B"/>
    <w:rsid w:val="55085A60"/>
    <w:rsid w:val="55BB5978"/>
    <w:rsid w:val="59343196"/>
    <w:rsid w:val="599E0097"/>
    <w:rsid w:val="5ADB7D78"/>
    <w:rsid w:val="5BB04DF0"/>
    <w:rsid w:val="5D6C0A93"/>
    <w:rsid w:val="5D915A0E"/>
    <w:rsid w:val="5DBD061A"/>
    <w:rsid w:val="5E932E93"/>
    <w:rsid w:val="5FA4498B"/>
    <w:rsid w:val="60480506"/>
    <w:rsid w:val="60643E84"/>
    <w:rsid w:val="61130716"/>
    <w:rsid w:val="61143219"/>
    <w:rsid w:val="61707CCC"/>
    <w:rsid w:val="61A6052D"/>
    <w:rsid w:val="623E37BE"/>
    <w:rsid w:val="626B6216"/>
    <w:rsid w:val="63814C5E"/>
    <w:rsid w:val="63FA2F2B"/>
    <w:rsid w:val="64077B7B"/>
    <w:rsid w:val="641D2F42"/>
    <w:rsid w:val="651C3DE1"/>
    <w:rsid w:val="66A178F0"/>
    <w:rsid w:val="67CF5844"/>
    <w:rsid w:val="685314B5"/>
    <w:rsid w:val="69841E39"/>
    <w:rsid w:val="69D01878"/>
    <w:rsid w:val="6A1F4430"/>
    <w:rsid w:val="6B247663"/>
    <w:rsid w:val="6D1F523E"/>
    <w:rsid w:val="6D38732A"/>
    <w:rsid w:val="6DD05A39"/>
    <w:rsid w:val="6EC6360F"/>
    <w:rsid w:val="6EE24C47"/>
    <w:rsid w:val="6FB940CF"/>
    <w:rsid w:val="704D7FCB"/>
    <w:rsid w:val="712B71E9"/>
    <w:rsid w:val="713118C3"/>
    <w:rsid w:val="71C02C3F"/>
    <w:rsid w:val="72BB5C94"/>
    <w:rsid w:val="72FB7C35"/>
    <w:rsid w:val="732B3BA9"/>
    <w:rsid w:val="74664EBC"/>
    <w:rsid w:val="748E4735"/>
    <w:rsid w:val="74A2126A"/>
    <w:rsid w:val="74EA3555"/>
    <w:rsid w:val="761A5C47"/>
    <w:rsid w:val="77DC750A"/>
    <w:rsid w:val="77FA34D6"/>
    <w:rsid w:val="78024143"/>
    <w:rsid w:val="78F54CD1"/>
    <w:rsid w:val="799B64FC"/>
    <w:rsid w:val="7AF0174A"/>
    <w:rsid w:val="7B5C1973"/>
    <w:rsid w:val="7BDE27F0"/>
    <w:rsid w:val="7C6F2CF1"/>
    <w:rsid w:val="7CB244A3"/>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6200</Words>
  <Characters>6428</Characters>
  <Lines>0</Lines>
  <Paragraphs>0</Paragraphs>
  <TotalTime>11</TotalTime>
  <ScaleCrop>false</ScaleCrop>
  <LinksUpToDate>false</LinksUpToDate>
  <CharactersWithSpaces>7123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周信宇</cp:lastModifiedBy>
  <cp:lastPrinted>2024-01-02T09:12:00Z</cp:lastPrinted>
  <dcterms:modified xsi:type="dcterms:W3CDTF">2025-09-23T06:43:12Z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D8550286EBA2437D88052AC938B9AA4C_13</vt:lpwstr>
  </property>
  <property fmtid="{D5CDD505-2E9C-101B-9397-08002B2CF9AE}" pid="4" name="KSOTemplateDocerSaveRecord">
    <vt:lpwstr>eyJoZGlkIjoiYWY0Zjg5MWFjZTg2YmJlZGM0NmU4ZjI4ODhmZjJlNzAiLCJ1c2VySWQiOiIxNjAyMzk0Njk2In0=</vt:lpwstr>
  </property>
</Properties>
</file>