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项目名称：一次性纸杯（第二次</w:t>
      </w:r>
      <w:bookmarkStart w:id="7" w:name="_GoBack"/>
      <w:bookmarkEnd w:id="7"/>
      <w:r>
        <w:rPr>
          <w:rFonts w:hint="eastAsia"/>
          <w:sz w:val="44"/>
          <w:szCs w:val="44"/>
          <w:highlight w:val="none"/>
          <w:lang w:val="en-US" w:eastAsia="zh-CN"/>
        </w:rPr>
        <w:t>）</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项目编号：BSRMYY-YNCG-2025-09014</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87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2114"/>
        <w:gridCol w:w="1922"/>
        <w:gridCol w:w="1582"/>
        <w:gridCol w:w="3014"/>
      </w:tblGrid>
      <w:tr w14:paraId="12564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10" w:type="pct"/>
            <w:vAlign w:val="center"/>
          </w:tcPr>
          <w:p w14:paraId="1C253A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99" w:type="pct"/>
            <w:vAlign w:val="center"/>
          </w:tcPr>
          <w:p w14:paraId="690841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999" w:type="pct"/>
            <w:vAlign w:val="center"/>
          </w:tcPr>
          <w:p w14:paraId="59812C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822" w:type="pct"/>
            <w:vAlign w:val="center"/>
          </w:tcPr>
          <w:p w14:paraId="32AA3C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567" w:type="pct"/>
            <w:vAlign w:val="center"/>
          </w:tcPr>
          <w:p w14:paraId="0298756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4AFAA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jc w:val="center"/>
        </w:trPr>
        <w:tc>
          <w:tcPr>
            <w:tcW w:w="510" w:type="pct"/>
            <w:vAlign w:val="center"/>
          </w:tcPr>
          <w:p w14:paraId="6A92BCF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9" w:type="pct"/>
            <w:vAlign w:val="center"/>
          </w:tcPr>
          <w:p w14:paraId="0B1A6DD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一次性纸杯</w:t>
            </w:r>
          </w:p>
        </w:tc>
        <w:tc>
          <w:tcPr>
            <w:tcW w:w="999" w:type="pct"/>
            <w:vAlign w:val="center"/>
          </w:tcPr>
          <w:p w14:paraId="76934AA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500000</w:t>
            </w:r>
          </w:p>
        </w:tc>
        <w:tc>
          <w:tcPr>
            <w:tcW w:w="822" w:type="pct"/>
            <w:vAlign w:val="center"/>
          </w:tcPr>
          <w:p w14:paraId="3786CF9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个</w:t>
            </w:r>
          </w:p>
        </w:tc>
        <w:tc>
          <w:tcPr>
            <w:tcW w:w="1567" w:type="pct"/>
            <w:vAlign w:val="center"/>
          </w:tcPr>
          <w:p w14:paraId="120E980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0.098</w:t>
            </w:r>
          </w:p>
        </w:tc>
      </w:tr>
      <w:tr w14:paraId="60C9D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5000" w:type="pct"/>
            <w:gridSpan w:val="5"/>
            <w:vAlign w:val="center"/>
          </w:tcPr>
          <w:p w14:paraId="61C55A1F">
            <w:pPr>
              <w:pageBreakBefore w:val="0"/>
              <w:widowControl/>
              <w:kinsoku/>
              <w:wordWrap/>
              <w:overflowPunct/>
              <w:topLinePunct w:val="0"/>
              <w:autoSpaceDE/>
              <w:autoSpaceDN/>
              <w:bidi w:val="0"/>
              <w:adjustRightInd/>
              <w:snapToGrid/>
              <w:spacing w:line="240" w:lineRule="auto"/>
              <w:ind w:firstLine="0" w:firstLineChars="0"/>
              <w:jc w:val="righ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按年预估用量合计总价为49000元</w:t>
            </w:r>
          </w:p>
        </w:tc>
      </w:tr>
    </w:tbl>
    <w:p w14:paraId="4CA9560B">
      <w:pPr>
        <w:pStyle w:val="25"/>
        <w:numPr>
          <w:ilvl w:val="0"/>
          <w:numId w:val="0"/>
        </w:numP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备注：本项目招采1年单价，年预估用量不做采购承诺，以实际验收用量据实结算。</w:t>
      </w:r>
    </w:p>
    <w:p w14:paraId="73EE7FE2">
      <w:pPr>
        <w:pStyle w:val="25"/>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4"/>
        <w:gridCol w:w="1772"/>
        <w:gridCol w:w="7668"/>
      </w:tblGrid>
      <w:tr w14:paraId="0948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0"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89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890"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参数要求</w:t>
            </w:r>
          </w:p>
        </w:tc>
      </w:tr>
      <w:tr w14:paraId="63EB2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trPr>
        <w:tc>
          <w:tcPr>
            <w:tcW w:w="210"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899"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一次性纸杯</w:t>
            </w:r>
          </w:p>
        </w:tc>
        <w:tc>
          <w:tcPr>
            <w:tcW w:w="3890" w:type="pct"/>
            <w:shd w:val="clear" w:color="auto" w:fill="auto"/>
            <w:vAlign w:val="center"/>
          </w:tcPr>
          <w:p w14:paraId="341E61AF">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规格：上口直径63mm、下口直径45.5mm、高度75mm；</w:t>
            </w:r>
          </w:p>
          <w:p w14:paraId="0A1C3133">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外观：彩色印刷医院名称及标识（按照采购人要求）</w:t>
            </w:r>
          </w:p>
          <w:p w14:paraId="52022118">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材质：183克纸基，食品级PE单淋膜，要求耐高温、不渗透、无异味、不变形。纸杯质量须符合国家标准（GB/T27590-2022)。</w:t>
            </w:r>
          </w:p>
          <w:p w14:paraId="7CF60A04">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主要性能：直接饮用</w:t>
            </w:r>
          </w:p>
          <w:p w14:paraId="7C10D548">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用途范围：用于盛装冷、热水</w:t>
            </w:r>
          </w:p>
          <w:p w14:paraId="26965FE4">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环保节能要求：不含有毒有害成分</w:t>
            </w:r>
          </w:p>
          <w:p w14:paraId="4987E45B">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8"/>
                <w:szCs w:val="28"/>
                <w:highlight w:val="none"/>
                <w:lang w:val="en-US" w:eastAsia="zh-CN"/>
              </w:rPr>
              <w:t>质保期限：不少于3年</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特定资格条件：</w:t>
      </w:r>
    </w:p>
    <w:p w14:paraId="6839535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按照法律法规相关规定。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本项目招采1年单价，</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包括但不限于货款、运输装卸、质保期维护保养费、资料装订及邮寄费、税费、保险费、验收检测费、</w:t>
      </w:r>
      <w:r>
        <w:rPr>
          <w:rFonts w:hint="eastAsia" w:ascii="方正仿宋_GBK" w:hAnsi="方正仿宋_GBK" w:eastAsia="方正仿宋_GBK" w:cs="方正仿宋_GBK"/>
          <w:b w:val="0"/>
          <w:bCs w:val="0"/>
          <w:color w:val="auto"/>
          <w:kern w:val="0"/>
          <w:sz w:val="32"/>
          <w:szCs w:val="32"/>
          <w:highlight w:val="none"/>
          <w:lang w:val="en-US" w:eastAsia="zh-CN" w:bidi="ar-SA"/>
        </w:rPr>
        <w:t>培训费</w:t>
      </w:r>
      <w:r>
        <w:rPr>
          <w:rFonts w:hint="eastAsia" w:ascii="方正仿宋_GBK" w:hAnsi="方正仿宋_GBK" w:eastAsia="方正仿宋_GBK" w:cs="方正仿宋_GBK"/>
          <w:b w:val="0"/>
          <w:color w:val="auto"/>
          <w:kern w:val="0"/>
          <w:sz w:val="32"/>
          <w:szCs w:val="32"/>
          <w:highlight w:val="none"/>
          <w:lang w:val="en-US" w:eastAsia="zh-CN" w:bidi="ar-SA"/>
        </w:rPr>
        <w:t>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及联系方式，不得实施商业贿赂等不良行为。合同签订前，供应商应向采购人提供至少十个样品。</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中选后，一般情况接采购人通知后7天完成产品交付，特殊情况10天完成。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1FE0B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验收合格后按季度据实结算，付款时供应商提供发票、验收单、送货单等。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8023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规格、性能等参数符合招标文件要求作为初步验收，产品试用1个月无异常才作为最终验收。验收及使用中发现产品质量争议按照验收争议进行处理；验收争议时由采购人邀请第三方机构检测，费用由供应商承担。</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（2）质保期限：产品质保期不少于3年（时间从双方验收确认签字入库起开始计算），质保期内非人为损坏免费更换。</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7051B75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（4）培训要求：产品投入使用前，应进行至少1次培训，要求具体使用人会操作。</w:t>
      </w:r>
    </w:p>
    <w:p w14:paraId="6B24EF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7.履约保证金</w:t>
      </w:r>
    </w:p>
    <w:p w14:paraId="7FE53F2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供应商未按采购人要求时限送货，每延迟1日，供应商应向采购人支付500元违约金，超过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合同期内如供应商出现2次及以上违约送货行为，采购人有权单方解除合同，并要求供应商承担合同总额30%的违约金；项目验收不合格或使用中发现产品质量缺陷，采购人有权要求供应商整改，整改期限为10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9.合同终止情形</w:t>
      </w:r>
    </w:p>
    <w:p w14:paraId="1694F3D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产品出现不良事件；合同周期内供应商出现2次及以上违约送货行为；供应商廉洁违纪行为；供应商主动放弃等。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D94267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仿宋" w:hAnsi="仿宋" w:eastAsia="仿宋" w:cs="仿宋"/>
          <w:b/>
          <w:bCs/>
          <w:color w:val="auto"/>
          <w:sz w:val="28"/>
          <w:szCs w:val="21"/>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按照法律法规相关规定。</w:t>
      </w: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747"/>
      <w:bookmarkStart w:id="1" w:name="_Toc237057793"/>
      <w:bookmarkStart w:id="2" w:name="_Toc128014297"/>
      <w:bookmarkStart w:id="3" w:name="_Toc128229304"/>
      <w:bookmarkStart w:id="4" w:name="_Toc175017344"/>
      <w:bookmarkStart w:id="5" w:name="_Toc173677399"/>
      <w:bookmarkStart w:id="6" w:name="_Toc156196472"/>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愿意按照询价采购文件中的一切要求，提供本项目的产品，按照年预估用量报价为人民币大写：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元整，</w:t>
      </w:r>
      <w:r>
        <w:rPr>
          <w:rFonts w:hint="eastAsia" w:ascii="方正仿宋_GBK" w:hAnsi="方正仿宋_GBK" w:eastAsia="方正仿宋_GBK" w:cs="方正仿宋_GBK"/>
          <w:sz w:val="32"/>
          <w:szCs w:val="32"/>
          <w:highlight w:val="none"/>
          <w:lang w:val="en-US"/>
        </w:rPr>
        <w:t>人民币小写：</w:t>
      </w:r>
      <w:r>
        <w:rPr>
          <w:rFonts w:hint="eastAsia" w:ascii="方正仿宋_GBK" w:hAnsi="方正仿宋_GBK" w:eastAsia="方正仿宋_GBK" w:cs="方正仿宋_GBK"/>
          <w:sz w:val="32"/>
          <w:szCs w:val="32"/>
          <w:highlight w:val="none"/>
          <w:u w:val="single"/>
          <w:lang w:val="en-US"/>
        </w:rPr>
        <w:t xml:space="preserve">     </w:t>
      </w:r>
      <w:r>
        <w:rPr>
          <w:rFonts w:hint="eastAsia" w:ascii="方正仿宋_GBK" w:hAnsi="方正仿宋_GBK" w:eastAsia="方正仿宋_GBK" w:cs="方正仿宋_GBK"/>
          <w:sz w:val="32"/>
          <w:szCs w:val="32"/>
          <w:highlight w:val="none"/>
          <w:lang w:val="en-US"/>
        </w:rPr>
        <w:t>元</w:t>
      </w:r>
      <w:r>
        <w:rPr>
          <w:rFonts w:hint="eastAsia" w:ascii="方正仿宋_GBK" w:hAnsi="方正仿宋_GBK" w:eastAsia="方正仿宋_GBK" w:cs="方正仿宋_GBK"/>
          <w:sz w:val="32"/>
          <w:szCs w:val="32"/>
          <w:highlight w:val="none"/>
          <w:lang w:val="en-US" w:eastAsia="zh-CN"/>
        </w:rPr>
        <w:t>。</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投标产品相关资料（如产品说明书、检测报告等）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宋体"/>
          <w:sz w:val="30"/>
          <w:szCs w:val="30"/>
          <w:highlight w:val="none"/>
          <w:lang w:eastAsia="zh-CN"/>
        </w:rPr>
        <w:t>生产日期、</w:t>
      </w:r>
      <w:r>
        <w:rPr>
          <w:rFonts w:hint="eastAsia" w:ascii="微软雅黑" w:hAnsi="微软雅黑" w:eastAsia="微软雅黑" w:cs="___WRD_EMBED_SUB_53"/>
          <w:sz w:val="30"/>
          <w:szCs w:val="30"/>
          <w:highlight w:val="none"/>
        </w:rPr>
        <w:t>质保期、故障响应</w:t>
      </w:r>
      <w:r>
        <w:rPr>
          <w:rFonts w:hint="eastAsia" w:ascii="微软雅黑" w:hAnsi="微软雅黑" w:eastAsia="微软雅黑" w:cs="___WRD_EMBED_SUB_53"/>
          <w:sz w:val="30"/>
          <w:szCs w:val="30"/>
          <w:highlight w:val="none"/>
          <w:lang w:eastAsia="zh-CN"/>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49BCD535">
      <w:pPr>
        <w:rPr>
          <w:rFonts w:hint="eastAsia" w:ascii="仿宋_GB2312" w:hAnsi="宋体" w:eastAsia="仿宋_GB2312"/>
          <w:b/>
          <w:snapToGrid w:val="0"/>
          <w:color w:val="auto"/>
          <w:kern w:val="0"/>
          <w:sz w:val="40"/>
          <w:szCs w:val="28"/>
          <w:highlight w:val="none"/>
          <w:lang w:val="en-US" w:eastAsia="zh-CN"/>
        </w:rPr>
      </w:pPr>
    </w:p>
    <w:p w14:paraId="10C7348B">
      <w:pPr>
        <w:rPr>
          <w:rFonts w:hint="eastAsia" w:ascii="仿宋_GB2312" w:hAnsi="宋体" w:eastAsia="仿宋_GB2312"/>
          <w:b/>
          <w:snapToGrid w:val="0"/>
          <w:color w:val="auto"/>
          <w:kern w:val="0"/>
          <w:sz w:val="40"/>
          <w:szCs w:val="28"/>
          <w:highlight w:val="none"/>
          <w:lang w:val="en-US" w:eastAsia="zh-CN"/>
        </w:rPr>
      </w:pPr>
    </w:p>
    <w:p w14:paraId="241DB76C">
      <w:pPr>
        <w:rPr>
          <w:rFonts w:hint="eastAsia" w:ascii="仿宋_GB2312" w:hAnsi="宋体" w:eastAsia="仿宋_GB2312"/>
          <w:b/>
          <w:snapToGrid w:val="0"/>
          <w:color w:val="auto"/>
          <w:kern w:val="0"/>
          <w:sz w:val="40"/>
          <w:szCs w:val="28"/>
          <w:highlight w:val="none"/>
          <w:lang w:val="en-US" w:eastAsia="zh-CN"/>
        </w:rPr>
      </w:pPr>
    </w:p>
    <w:p w14:paraId="471A2B13">
      <w:pPr>
        <w:rPr>
          <w:rFonts w:hint="eastAsia" w:ascii="仿宋_GB2312" w:hAnsi="宋体" w:eastAsia="仿宋_GB2312"/>
          <w:b/>
          <w:snapToGrid w:val="0"/>
          <w:color w:val="auto"/>
          <w:kern w:val="0"/>
          <w:sz w:val="40"/>
          <w:szCs w:val="28"/>
          <w:highlight w:val="none"/>
          <w:lang w:val="en-US" w:eastAsia="zh-CN"/>
        </w:rPr>
      </w:pPr>
    </w:p>
    <w:p w14:paraId="6BFCD337">
      <w:pPr>
        <w:rPr>
          <w:rFonts w:hint="eastAsia" w:ascii="仿宋_GB2312" w:hAnsi="宋体" w:eastAsia="仿宋_GB2312"/>
          <w:b/>
          <w:snapToGrid w:val="0"/>
          <w:color w:val="auto"/>
          <w:kern w:val="0"/>
          <w:sz w:val="40"/>
          <w:szCs w:val="28"/>
          <w:highlight w:val="none"/>
          <w:lang w:val="en-US" w:eastAsia="zh-CN"/>
        </w:rPr>
      </w:pPr>
    </w:p>
    <w:p w14:paraId="76AF04BE">
      <w:pPr>
        <w:rPr>
          <w:rFonts w:hint="eastAsia" w:ascii="仿宋_GB2312" w:hAnsi="宋体" w:eastAsia="仿宋_GB2312"/>
          <w:b/>
          <w:snapToGrid w:val="0"/>
          <w:color w:val="auto"/>
          <w:kern w:val="0"/>
          <w:sz w:val="40"/>
          <w:szCs w:val="28"/>
          <w:highlight w:val="none"/>
          <w:lang w:val="en-US" w:eastAsia="zh-CN"/>
        </w:rPr>
      </w:pPr>
    </w:p>
    <w:p w14:paraId="57925C76">
      <w:pPr>
        <w:rPr>
          <w:rFonts w:hint="eastAsia" w:ascii="仿宋_GB2312" w:hAnsi="宋体" w:eastAsia="仿宋_GB2312"/>
          <w:b/>
          <w:snapToGrid w:val="0"/>
          <w:color w:val="auto"/>
          <w:kern w:val="0"/>
          <w:sz w:val="40"/>
          <w:szCs w:val="28"/>
          <w:highlight w:val="none"/>
          <w:lang w:val="en-US" w:eastAsia="zh-CN"/>
        </w:rPr>
      </w:pPr>
    </w:p>
    <w:p w14:paraId="7FEC801E">
      <w:pPr>
        <w:rPr>
          <w:rFonts w:hint="eastAsia" w:ascii="仿宋_GB2312" w:hAnsi="宋体" w:eastAsia="仿宋_GB2312"/>
          <w:b/>
          <w:snapToGrid w:val="0"/>
          <w:color w:val="auto"/>
          <w:kern w:val="0"/>
          <w:sz w:val="40"/>
          <w:szCs w:val="28"/>
          <w:highlight w:val="none"/>
          <w:lang w:val="en-US" w:eastAsia="zh-CN"/>
        </w:rPr>
      </w:pPr>
    </w:p>
    <w:p w14:paraId="71A28115">
      <w:pPr>
        <w:rPr>
          <w:rFonts w:hint="eastAsia" w:ascii="仿宋_GB2312" w:hAnsi="宋体" w:eastAsia="仿宋_GB2312"/>
          <w:b/>
          <w:snapToGrid w:val="0"/>
          <w:color w:val="auto"/>
          <w:kern w:val="0"/>
          <w:sz w:val="40"/>
          <w:szCs w:val="28"/>
          <w:highlight w:val="none"/>
          <w:lang w:val="en-US" w:eastAsia="zh-CN"/>
        </w:rPr>
      </w:pPr>
    </w:p>
    <w:p w14:paraId="2756EDA2">
      <w:pPr>
        <w:rPr>
          <w:rFonts w:hint="eastAsia" w:ascii="仿宋_GB2312" w:hAnsi="宋体" w:eastAsia="仿宋_GB2312"/>
          <w:b/>
          <w:snapToGrid w:val="0"/>
          <w:color w:val="auto"/>
          <w:kern w:val="0"/>
          <w:sz w:val="40"/>
          <w:szCs w:val="28"/>
          <w:highlight w:val="none"/>
          <w:lang w:val="en-US" w:eastAsia="zh-CN"/>
        </w:rPr>
      </w:pPr>
    </w:p>
    <w:p w14:paraId="31F5A486">
      <w:pPr>
        <w:rPr>
          <w:rFonts w:hint="eastAsia" w:ascii="仿宋_GB2312" w:hAnsi="宋体" w:eastAsia="仿宋_GB2312"/>
          <w:b/>
          <w:snapToGrid w:val="0"/>
          <w:color w:val="auto"/>
          <w:kern w:val="0"/>
          <w:sz w:val="40"/>
          <w:szCs w:val="28"/>
          <w:highlight w:val="none"/>
          <w:lang w:val="en-US" w:eastAsia="zh-CN"/>
        </w:rPr>
      </w:pPr>
    </w:p>
    <w:p w14:paraId="477F2D1D">
      <w:pPr>
        <w:rPr>
          <w:rFonts w:hint="eastAsia" w:ascii="仿宋_GB2312" w:hAnsi="宋体" w:eastAsia="仿宋_GB2312"/>
          <w:b/>
          <w:snapToGrid w:val="0"/>
          <w:color w:val="auto"/>
          <w:kern w:val="0"/>
          <w:sz w:val="40"/>
          <w:szCs w:val="28"/>
          <w:highlight w:val="none"/>
          <w:lang w:val="en-US" w:eastAsia="zh-CN"/>
        </w:rPr>
      </w:pPr>
    </w:p>
    <w:p w14:paraId="27FAD3AC">
      <w:pPr>
        <w:rPr>
          <w:rFonts w:hint="eastAsia" w:ascii="仿宋_GB2312" w:hAnsi="宋体" w:eastAsia="仿宋_GB2312"/>
          <w:b/>
          <w:snapToGrid w:val="0"/>
          <w:color w:val="auto"/>
          <w:kern w:val="0"/>
          <w:sz w:val="40"/>
          <w:szCs w:val="28"/>
          <w:highlight w:val="none"/>
          <w:lang w:val="en-US" w:eastAsia="zh-CN"/>
        </w:rPr>
      </w:pPr>
    </w:p>
    <w:p w14:paraId="57BA44D0">
      <w:pPr>
        <w:rPr>
          <w:rFonts w:hint="eastAsia" w:ascii="仿宋_GB2312" w:hAnsi="宋体" w:eastAsia="仿宋_GB2312"/>
          <w:b/>
          <w:snapToGrid w:val="0"/>
          <w:color w:val="auto"/>
          <w:kern w:val="0"/>
          <w:sz w:val="40"/>
          <w:szCs w:val="28"/>
          <w:highlight w:val="none"/>
          <w:lang w:val="en-US" w:eastAsia="zh-CN"/>
        </w:rPr>
      </w:pPr>
    </w:p>
    <w:p w14:paraId="6177F22D">
      <w:pPr>
        <w:rPr>
          <w:rFonts w:hint="eastAsia" w:ascii="仿宋_GB2312" w:hAnsi="宋体" w:eastAsia="仿宋_GB2312"/>
          <w:b/>
          <w:snapToGrid w:val="0"/>
          <w:color w:val="auto"/>
          <w:kern w:val="0"/>
          <w:sz w:val="40"/>
          <w:szCs w:val="28"/>
          <w:highlight w:val="none"/>
          <w:lang w:val="en-US" w:eastAsia="zh-CN"/>
        </w:rPr>
      </w:pPr>
    </w:p>
    <w:p w14:paraId="367A8E93">
      <w:pPr>
        <w:rPr>
          <w:rFonts w:hint="eastAsia" w:ascii="仿宋_GB2312" w:hAnsi="宋体" w:eastAsia="仿宋_GB2312"/>
          <w:b/>
          <w:snapToGrid w:val="0"/>
          <w:color w:val="auto"/>
          <w:kern w:val="0"/>
          <w:sz w:val="40"/>
          <w:szCs w:val="28"/>
          <w:highlight w:val="none"/>
          <w:lang w:val="en-US" w:eastAsia="zh-CN"/>
        </w:rPr>
      </w:pPr>
    </w:p>
    <w:p w14:paraId="7558D603">
      <w:pPr>
        <w:rPr>
          <w:rFonts w:hint="eastAsia" w:ascii="仿宋_GB2312" w:hAnsi="宋体" w:eastAsia="仿宋_GB2312"/>
          <w:b/>
          <w:snapToGrid w:val="0"/>
          <w:color w:val="auto"/>
          <w:kern w:val="0"/>
          <w:sz w:val="40"/>
          <w:szCs w:val="28"/>
          <w:highlight w:val="none"/>
          <w:lang w:val="en-US" w:eastAsia="zh-CN"/>
        </w:rPr>
      </w:pPr>
    </w:p>
    <w:p w14:paraId="0711F7FF">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4A6652"/>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EAE2BD9"/>
    <w:rsid w:val="0F4D0AAA"/>
    <w:rsid w:val="0F8419BC"/>
    <w:rsid w:val="0F851480"/>
    <w:rsid w:val="0F9718DF"/>
    <w:rsid w:val="0FD01451"/>
    <w:rsid w:val="11492216"/>
    <w:rsid w:val="116E3FA7"/>
    <w:rsid w:val="122D0B62"/>
    <w:rsid w:val="1323397F"/>
    <w:rsid w:val="133D5E0A"/>
    <w:rsid w:val="153C16E7"/>
    <w:rsid w:val="15D4217A"/>
    <w:rsid w:val="18EC242C"/>
    <w:rsid w:val="1922346A"/>
    <w:rsid w:val="1AAE2C67"/>
    <w:rsid w:val="1AF86BE0"/>
    <w:rsid w:val="1B3306B6"/>
    <w:rsid w:val="1BDE0896"/>
    <w:rsid w:val="1C1979BC"/>
    <w:rsid w:val="1CE4012E"/>
    <w:rsid w:val="1CF00EFC"/>
    <w:rsid w:val="1F2F00AB"/>
    <w:rsid w:val="2027068C"/>
    <w:rsid w:val="205210D9"/>
    <w:rsid w:val="20746E51"/>
    <w:rsid w:val="21426D4A"/>
    <w:rsid w:val="215F0650"/>
    <w:rsid w:val="233D75DC"/>
    <w:rsid w:val="236757CC"/>
    <w:rsid w:val="23FB11F4"/>
    <w:rsid w:val="28256D6A"/>
    <w:rsid w:val="28275AF0"/>
    <w:rsid w:val="289006EE"/>
    <w:rsid w:val="29AE2A56"/>
    <w:rsid w:val="2A69746B"/>
    <w:rsid w:val="2C3529EE"/>
    <w:rsid w:val="2CCA628B"/>
    <w:rsid w:val="2F2F3117"/>
    <w:rsid w:val="2FC44243"/>
    <w:rsid w:val="31092EA8"/>
    <w:rsid w:val="31B12793"/>
    <w:rsid w:val="33FB61AD"/>
    <w:rsid w:val="342C6BC9"/>
    <w:rsid w:val="35761799"/>
    <w:rsid w:val="359B4383"/>
    <w:rsid w:val="360845B7"/>
    <w:rsid w:val="376E6279"/>
    <w:rsid w:val="38A14340"/>
    <w:rsid w:val="396A2364"/>
    <w:rsid w:val="3A1D4990"/>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C6F310B"/>
    <w:rsid w:val="4F6D75ED"/>
    <w:rsid w:val="51352B6B"/>
    <w:rsid w:val="53A17F68"/>
    <w:rsid w:val="53DB6C22"/>
    <w:rsid w:val="54B6568B"/>
    <w:rsid w:val="55085A60"/>
    <w:rsid w:val="55BB5978"/>
    <w:rsid w:val="59343196"/>
    <w:rsid w:val="599E0097"/>
    <w:rsid w:val="5ADB7D78"/>
    <w:rsid w:val="5BB04DF0"/>
    <w:rsid w:val="5D6C0A93"/>
    <w:rsid w:val="5D915A0E"/>
    <w:rsid w:val="5DBD061A"/>
    <w:rsid w:val="5E932E93"/>
    <w:rsid w:val="5FA4498B"/>
    <w:rsid w:val="60480506"/>
    <w:rsid w:val="60643E84"/>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4EA3555"/>
    <w:rsid w:val="761A5C47"/>
    <w:rsid w:val="77DC750A"/>
    <w:rsid w:val="77FA34D6"/>
    <w:rsid w:val="78024143"/>
    <w:rsid w:val="78F54CD1"/>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6200</Words>
  <Characters>6428</Characters>
  <Lines>0</Lines>
  <Paragraphs>0</Paragraphs>
  <TotalTime>11</TotalTime>
  <ScaleCrop>false</ScaleCrop>
  <LinksUpToDate>false</LinksUpToDate>
  <CharactersWithSpaces>7123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