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项目名称：东关院区消防设施</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项目编号：BSRMYY-YNCG-2024-06007</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lang w:val="en-US" w:eastAsia="zh-CN" w:bidi="ar-SA"/>
        </w:rPr>
        <w:t>1.公司营业执照</w:t>
      </w:r>
      <w:r>
        <w:rPr>
          <w:rFonts w:hint="eastAsia" w:ascii="仿宋_GB2312" w:hAnsi="Arial" w:eastAsia="仿宋_GB2312" w:cstheme="minorBidi"/>
          <w:b/>
          <w:color w:val="auto"/>
          <w:kern w:val="2"/>
          <w:sz w:val="32"/>
          <w:szCs w:val="32"/>
          <w:highlight w:val="none"/>
          <w:lang w:val="en-US" w:eastAsia="zh-CN" w:bidi="ar-SA"/>
        </w:rPr>
        <w:t>（资质要求：要求参选人须具备消防设施工程专业承包二级及以上资质，市外建筑施工企业按照《重庆市市外建筑施工企业入渝信息报送管理办法》（渝建发〔2016〕22号）文规定，参选前已取得入渝登记备案证（在有效期内）或已纳入市城乡建委“市外建筑施工企业入渝信息库”，并在人员、设备、资金等方面具备相应的施工能力。）</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r>
        <w:rPr>
          <w:rFonts w:hint="eastAsia" w:ascii="仿宋_GB2312" w:hAnsi="Arial" w:eastAsia="仿宋_GB2312" w:cstheme="minorBidi"/>
          <w:b/>
          <w:color w:val="auto"/>
          <w:kern w:val="2"/>
          <w:sz w:val="24"/>
          <w:szCs w:val="24"/>
          <w:lang w:val="en-US" w:eastAsia="zh-CN" w:bidi="ar-SA"/>
        </w:rPr>
        <w:t>要求参选人须具备消防设施工程专业承包二级及以上资质，市外建筑施工企业按照《重庆市市外建筑施工企业入渝信息报送管理办法》（渝建发〔2016〕22号）文规定，参选前已取得入渝登记备案证（在有效期内）或已纳入市城乡建委“市外建筑施工企业入渝信息库”，并在人员、设备、资金等方面具备相应的施工能力。</w:t>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46"/>
        <w:gridCol w:w="3675"/>
        <w:gridCol w:w="1114"/>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54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675"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11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断路器</w:t>
            </w:r>
          </w:p>
        </w:tc>
        <w:tc>
          <w:tcPr>
            <w:tcW w:w="3675" w:type="dxa"/>
            <w:vAlign w:val="center"/>
          </w:tcPr>
          <w:p>
            <w:pPr>
              <w:keepNext w:val="0"/>
              <w:keepLines w:val="0"/>
              <w:widowControl/>
              <w:suppressLineNumbers w:val="0"/>
              <w:jc w:val="center"/>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NMI-125S/4300B-100A；说明喷淋泵控制柜内1个（喷淋泵控制柜断路器出现故障，需换新）</w:t>
            </w:r>
          </w:p>
        </w:tc>
        <w:tc>
          <w:tcPr>
            <w:tcW w:w="111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1个</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3280.00 </w:t>
            </w:r>
          </w:p>
        </w:tc>
        <w:tc>
          <w:tcPr>
            <w:tcW w:w="1283" w:type="dxa"/>
            <w:vMerge w:val="restart"/>
            <w:vAlign w:val="center"/>
          </w:tcPr>
          <w:p>
            <w:pPr>
              <w:jc w:val="center"/>
              <w:rPr>
                <w:rFonts w:hint="default" w:eastAsiaTheme="minorEastAsia"/>
                <w:sz w:val="32"/>
                <w:szCs w:val="32"/>
                <w:lang w:val="en-US" w:eastAsia="zh-CN"/>
              </w:rPr>
            </w:pPr>
            <w:r>
              <w:rPr>
                <w:rFonts w:hint="eastAsia"/>
                <w:sz w:val="32"/>
                <w:szCs w:val="32"/>
                <w:lang w:val="en-US" w:eastAsia="zh-CN"/>
              </w:rPr>
              <w:t>13536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液位显示器</w:t>
            </w:r>
          </w:p>
        </w:tc>
        <w:tc>
          <w:tcPr>
            <w:tcW w:w="3675" w:type="dxa"/>
            <w:vAlign w:val="center"/>
          </w:tcPr>
          <w:p>
            <w:pPr>
              <w:keepNext w:val="0"/>
              <w:keepLines w:val="0"/>
              <w:widowControl/>
              <w:suppressLineNumbers w:val="0"/>
              <w:jc w:val="center"/>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BLD-T804；说明屋顶水箱和消防水池各1个，（屋顶水箱和消防水池液位显示器缺失，需新增）</w:t>
            </w:r>
          </w:p>
        </w:tc>
        <w:tc>
          <w:tcPr>
            <w:tcW w:w="111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2个</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218.32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水位计</w:t>
            </w:r>
          </w:p>
        </w:tc>
        <w:tc>
          <w:tcPr>
            <w:tcW w:w="3675" w:type="dxa"/>
            <w:vAlign w:val="center"/>
          </w:tcPr>
          <w:p>
            <w:pPr>
              <w:keepNext w:val="0"/>
              <w:keepLines w:val="0"/>
              <w:widowControl/>
              <w:suppressLineNumbers w:val="0"/>
              <w:jc w:val="center"/>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BLD-T804；说明屋顶水箱和消防水池各1个（屋顶水箱和消防水池水位计缺失，需新增</w:t>
            </w:r>
            <w:bookmarkStart w:id="31" w:name="_GoBack"/>
            <w:bookmarkEnd w:id="31"/>
            <w:r>
              <w:rPr>
                <w:rFonts w:hint="eastAsia" w:ascii="微软雅黑" w:hAnsi="微软雅黑" w:eastAsia="微软雅黑" w:cs="微软雅黑"/>
                <w:i w:val="0"/>
                <w:iCs w:val="0"/>
                <w:color w:val="000000"/>
                <w:kern w:val="0"/>
                <w:sz w:val="24"/>
                <w:szCs w:val="24"/>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2个</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186.25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液位显示器配线</w:t>
            </w:r>
          </w:p>
        </w:tc>
        <w:tc>
          <w:tcPr>
            <w:tcW w:w="3675" w:type="dxa"/>
            <w:vAlign w:val="center"/>
          </w:tcPr>
          <w:p>
            <w:pPr>
              <w:keepNext w:val="0"/>
              <w:keepLines w:val="0"/>
              <w:widowControl/>
              <w:suppressLineNumbers w:val="0"/>
              <w:jc w:val="center"/>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RVVP-2*1.5</w:t>
            </w:r>
          </w:p>
        </w:tc>
        <w:tc>
          <w:tcPr>
            <w:tcW w:w="111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400米</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132.28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液位显示器配管</w:t>
            </w:r>
          </w:p>
        </w:tc>
        <w:tc>
          <w:tcPr>
            <w:tcW w:w="3675" w:type="dxa"/>
            <w:vAlign w:val="center"/>
          </w:tcPr>
          <w:p>
            <w:pPr>
              <w:keepNext w:val="0"/>
              <w:keepLines w:val="0"/>
              <w:widowControl/>
              <w:suppressLineNumbers w:val="0"/>
              <w:jc w:val="center"/>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KBGφ32</w:t>
            </w:r>
          </w:p>
        </w:tc>
        <w:tc>
          <w:tcPr>
            <w:tcW w:w="111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100米</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133.65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jc w:val="center"/>
              <w:rPr>
                <w:rFonts w:hint="default" w:eastAsiaTheme="minorEastAsia"/>
                <w:sz w:val="32"/>
                <w:szCs w:val="32"/>
                <w:lang w:val="en-US" w:eastAsia="zh-CN"/>
              </w:rPr>
            </w:pPr>
            <w:r>
              <w:rPr>
                <w:rFonts w:hint="eastAsia" w:ascii="微软雅黑" w:hAnsi="微软雅黑" w:eastAsia="微软雅黑" w:cs="微软雅黑"/>
                <w:i w:val="0"/>
                <w:iCs w:val="0"/>
                <w:color w:val="000000"/>
                <w:kern w:val="0"/>
                <w:sz w:val="24"/>
                <w:szCs w:val="24"/>
                <w:u w:val="none"/>
                <w:lang w:val="en-US" w:eastAsia="zh-CN" w:bidi="ar"/>
              </w:rPr>
              <w:t>注：上述安装数量可能与实际安装数量略有出入，</w:t>
            </w:r>
            <w:r>
              <w:rPr>
                <w:rFonts w:hint="eastAsia" w:ascii="微软雅黑" w:hAnsi="微软雅黑" w:eastAsia="微软雅黑" w:cs="微软雅黑"/>
                <w:b/>
                <w:bCs/>
                <w:i w:val="0"/>
                <w:iCs w:val="0"/>
                <w:color w:val="000000"/>
                <w:kern w:val="0"/>
                <w:sz w:val="24"/>
                <w:szCs w:val="24"/>
                <w:u w:val="none"/>
                <w:lang w:val="en-US" w:eastAsia="zh-CN" w:bidi="ar"/>
              </w:rPr>
              <w:t>供应商在报送总价时请单独报送一份单价清单，</w:t>
            </w:r>
            <w:r>
              <w:rPr>
                <w:rFonts w:hint="eastAsia" w:ascii="微软雅黑" w:hAnsi="微软雅黑" w:eastAsia="微软雅黑" w:cs="微软雅黑"/>
                <w:i w:val="0"/>
                <w:iCs w:val="0"/>
                <w:color w:val="000000"/>
                <w:kern w:val="0"/>
                <w:sz w:val="24"/>
                <w:szCs w:val="24"/>
                <w:u w:val="none"/>
                <w:lang w:val="en-US" w:eastAsia="zh-CN" w:bidi="ar"/>
              </w:rPr>
              <w:t>以实际验收合格数量据实结算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本项目一次性采购，</w:t>
            </w:r>
            <w:r>
              <w:rPr>
                <w:rFonts w:hint="eastAsia" w:ascii="方正仿宋_GBK" w:hAnsi="方正仿宋_GBK" w:eastAsia="方正仿宋_GBK" w:cs="方正仿宋_GBK"/>
                <w:b/>
                <w:bCs/>
                <w:sz w:val="24"/>
                <w:szCs w:val="24"/>
                <w:lang w:val="en-US" w:eastAsia="zh-CN"/>
              </w:rPr>
              <w:t>供应商在报送总价时一并报送分项单价，</w:t>
            </w:r>
            <w:r>
              <w:rPr>
                <w:rFonts w:hint="eastAsia" w:ascii="方正仿宋_GBK" w:hAnsi="方正仿宋_GBK" w:eastAsia="方正仿宋_GBK" w:cs="方正仿宋_GBK"/>
                <w:sz w:val="24"/>
                <w:szCs w:val="24"/>
                <w:lang w:val="en-US" w:eastAsia="zh-CN"/>
              </w:rPr>
              <w:t>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采购人发出中选通知后5个工作日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w:t>
            </w:r>
            <w:r>
              <w:rPr>
                <w:rFonts w:ascii="微软雅黑" w:hAnsi="微软雅黑" w:eastAsia="微软雅黑" w:cs="微软雅黑"/>
                <w:i w:val="0"/>
                <w:iCs w:val="0"/>
                <w:caps w:val="0"/>
                <w:color w:val="000000"/>
                <w:spacing w:val="0"/>
                <w:sz w:val="21"/>
                <w:szCs w:val="21"/>
                <w:shd w:val="clear" w:fill="FFFFFF"/>
              </w:rPr>
              <w:t>（</w:t>
            </w:r>
            <w:r>
              <w:rPr>
                <w:rFonts w:hint="eastAsia" w:ascii="方正仿宋_GBK" w:hAnsi="方正仿宋_GBK" w:eastAsia="方正仿宋_GBK" w:cs="方正仿宋_GBK"/>
                <w:b w:val="0"/>
                <w:kern w:val="2"/>
                <w:sz w:val="24"/>
                <w:szCs w:val="24"/>
                <w:lang w:val="en-US" w:eastAsia="zh-CN" w:bidi="ar-SA"/>
              </w:rPr>
              <w:t>含安装和调试，确保以上设备全部符合建筑消防规范），包含：货款、运输装卸费、安装调试费、辅材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验收通过后一次性支付100%</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验收记录</w:t>
            </w:r>
            <w:r>
              <w:rPr>
                <w:rFonts w:hint="eastAsia" w:ascii="方正仿宋_GBK" w:hAnsi="方正仿宋_GBK" w:eastAsia="方正仿宋_GBK" w:cs="方正仿宋_GBK"/>
                <w:sz w:val="24"/>
                <w:szCs w:val="24"/>
              </w:rPr>
              <w:t>，未及时提供的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后方能安装调试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sz w:val="24"/>
                <w:szCs w:val="24"/>
                <w:lang w:val="en-US" w:eastAsia="zh-CN"/>
              </w:rPr>
              <w:t>送货产品为</w:t>
            </w:r>
            <w:r>
              <w:rPr>
                <w:rFonts w:hint="eastAsia" w:ascii="方正仿宋_GBK" w:hAnsi="方正仿宋_GBK" w:eastAsia="方正仿宋_GBK" w:cs="方正仿宋_GBK"/>
                <w:b/>
                <w:bCs/>
                <w:sz w:val="24"/>
                <w:szCs w:val="24"/>
              </w:rPr>
              <w:t>生产日期应为1年以内的全新产品</w:t>
            </w:r>
            <w:r>
              <w:rPr>
                <w:rFonts w:hint="eastAsia" w:ascii="方正仿宋_GBK" w:hAnsi="方正仿宋_GBK" w:eastAsia="方正仿宋_GBK" w:cs="方正仿宋_GBK"/>
                <w:sz w:val="24"/>
                <w:szCs w:val="24"/>
              </w:rPr>
              <w:t>。如有缺漏、损坏，由供应商负责调换、补齐或赔偿。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r>
              <w:rPr>
                <w:rFonts w:hint="eastAsia" w:ascii="方正仿宋_GBK" w:hAnsi="方正仿宋_GBK" w:eastAsia="方正仿宋_GBK" w:cs="方正仿宋_GBK"/>
                <w:sz w:val="24"/>
                <w:szCs w:val="24"/>
                <w:lang w:val="en-US" w:eastAsia="zh-CN"/>
              </w:rPr>
              <w:t>验收后使用期间发现疑似产品质量问题，供应商应承担鉴定费用。</w:t>
            </w:r>
          </w:p>
          <w:p>
            <w:pPr>
              <w:ind w:firstLine="480" w:firstLineChars="200"/>
              <w:rPr>
                <w:rFonts w:hint="default"/>
                <w:lang w:val="en-US" w:eastAsia="zh-CN"/>
              </w:rPr>
            </w:pPr>
            <w:r>
              <w:rPr>
                <w:rFonts w:hint="eastAsia" w:ascii="方正仿宋_GBK" w:hAnsi="方正仿宋_GBK" w:eastAsia="方正仿宋_GBK" w:cs="方正仿宋_GBK"/>
                <w:kern w:val="2"/>
                <w:sz w:val="24"/>
                <w:szCs w:val="24"/>
                <w:highlight w:val="yellow"/>
                <w:lang w:val="en-US" w:eastAsia="zh-CN" w:bidi="ar-SA"/>
              </w:rPr>
              <w:t>7.如消防部门检查要求整改的，应免费进行整改，直至符合消防部门规范要求。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highlight w:val="yellow"/>
                <w:u w:val="single"/>
                <w:lang w:val="en-US" w:eastAsia="zh-CN"/>
              </w:rPr>
              <w:t>3</w:t>
            </w:r>
            <w:r>
              <w:rPr>
                <w:rFonts w:hint="eastAsia" w:ascii="方正仿宋_GBK" w:hAnsi="方正仿宋_GBK" w:eastAsia="方正仿宋_GBK" w:cs="方正仿宋_GBK"/>
                <w:b/>
                <w:bCs/>
                <w:sz w:val="24"/>
                <w:szCs w:val="24"/>
                <w:highlight w:val="yellow"/>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2051"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放射科消防设施</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r>
              <w:rPr>
                <w:rFonts w:hint="eastAsia" w:ascii="仿宋" w:hAnsi="仿宋" w:eastAsia="仿宋" w:cs="仿宋"/>
                <w:b/>
                <w:bCs/>
                <w:i w:val="0"/>
                <w:caps w:val="0"/>
                <w:color w:val="555555"/>
                <w:spacing w:val="0"/>
                <w:kern w:val="0"/>
                <w:sz w:val="24"/>
                <w:szCs w:val="24"/>
                <w:u w:val="single"/>
                <w:lang w:val="en-US" w:eastAsia="zh-CN" w:bidi="ar"/>
              </w:rPr>
              <w:t>请单独对每个分项进行报价</w:t>
            </w:r>
            <w:r>
              <w:rPr>
                <w:rFonts w:hint="eastAsia" w:ascii="仿宋" w:hAnsi="仿宋" w:eastAsia="仿宋" w:cs="仿宋"/>
                <w:b/>
                <w:bCs/>
                <w:i w:val="0"/>
                <w:caps w:val="0"/>
                <w:color w:val="555555"/>
                <w:spacing w:val="0"/>
                <w:kern w:val="0"/>
                <w:sz w:val="24"/>
                <w:szCs w:val="24"/>
                <w:lang w:val="en-US" w:eastAsia="zh-CN" w:bidi="ar"/>
              </w:rPr>
              <w:t>，便于后期施工增减时据实结算。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56196470"/>
      <w:bookmarkStart w:id="4" w:name="_Toc128229302"/>
      <w:bookmarkStart w:id="5" w:name="_Toc166139912"/>
      <w:bookmarkStart w:id="6" w:name="_Toc156730450"/>
      <w:bookmarkStart w:id="7" w:name="_Toc128229916"/>
      <w:bookmarkStart w:id="8" w:name="_Toc166549448"/>
      <w:bookmarkStart w:id="9" w:name="_Toc156196559"/>
      <w:bookmarkStart w:id="10" w:name="_Toc173677397"/>
      <w:bookmarkStart w:id="11" w:name="_Toc175017342"/>
      <w:bookmarkStart w:id="12" w:name="_Toc128229745"/>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196471"/>
      <w:bookmarkStart w:id="14" w:name="_Toc156196560"/>
      <w:bookmarkStart w:id="15" w:name="_Toc173677398"/>
      <w:bookmarkStart w:id="16" w:name="_Toc156730451"/>
      <w:bookmarkStart w:id="17" w:name="_Toc156815771"/>
      <w:bookmarkStart w:id="18" w:name="_Toc175017343"/>
      <w:bookmarkStart w:id="19" w:name="_Toc166549449"/>
      <w:bookmarkStart w:id="20" w:name="_Toc166139913"/>
      <w:bookmarkStart w:id="21" w:name="_Toc128229746"/>
      <w:bookmarkStart w:id="22" w:name="_Toc128229303"/>
      <w:bookmarkStart w:id="23" w:name="_Toc128229917"/>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3677399"/>
      <w:bookmarkStart w:id="25" w:name="_Toc156196472"/>
      <w:bookmarkStart w:id="26" w:name="_Toc128014297"/>
      <w:bookmarkStart w:id="27" w:name="_Toc175017344"/>
      <w:bookmarkStart w:id="28" w:name="_Toc128229747"/>
      <w:bookmarkStart w:id="29" w:name="_Toc128229304"/>
      <w:bookmarkStart w:id="30" w:name="_Toc237057793"/>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AF54F28"/>
    <w:rsid w:val="0C872834"/>
    <w:rsid w:val="0CE64C8D"/>
    <w:rsid w:val="0FD01451"/>
    <w:rsid w:val="122D0B62"/>
    <w:rsid w:val="18B50D96"/>
    <w:rsid w:val="1922346A"/>
    <w:rsid w:val="1AAE2C67"/>
    <w:rsid w:val="1AF86BE0"/>
    <w:rsid w:val="1BDE0896"/>
    <w:rsid w:val="1CF00EFC"/>
    <w:rsid w:val="21426D4A"/>
    <w:rsid w:val="21637272"/>
    <w:rsid w:val="236757CC"/>
    <w:rsid w:val="25756FA4"/>
    <w:rsid w:val="2C3529EE"/>
    <w:rsid w:val="2E734A32"/>
    <w:rsid w:val="2FC44243"/>
    <w:rsid w:val="31092EA8"/>
    <w:rsid w:val="33FB61AD"/>
    <w:rsid w:val="342C6BC9"/>
    <w:rsid w:val="36052340"/>
    <w:rsid w:val="376E6279"/>
    <w:rsid w:val="38A14340"/>
    <w:rsid w:val="3D8263F7"/>
    <w:rsid w:val="44C5770F"/>
    <w:rsid w:val="44EF71C4"/>
    <w:rsid w:val="482D6FF9"/>
    <w:rsid w:val="496140CE"/>
    <w:rsid w:val="4AE139DB"/>
    <w:rsid w:val="4BDB0A24"/>
    <w:rsid w:val="4C31315D"/>
    <w:rsid w:val="4D0B0117"/>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2</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2024-06-04T02:53:00Z</cp:lastPrinted>
  <dcterms:modified xsi:type="dcterms:W3CDTF">2024-06-17T00:59:06Z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