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项目名称：会议一体机（86寸）</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firstLine="48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2"/>
        <w:ind w:left="0" w:leftChars="0" w:firstLine="419" w:firstLineChars="131"/>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ind w:left="0" w:leftChars="0" w:firstLine="419" w:firstLineChars="131"/>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firstLine="320" w:firstLineChars="100"/>
        <w:rPr>
          <w:rFonts w:hint="default"/>
          <w:lang w:val="en-US" w:eastAsia="zh-CN"/>
        </w:rPr>
      </w:pPr>
      <w:r>
        <w:rPr>
          <w:rFonts w:hint="eastAsia" w:ascii="仿宋_GB2312" w:eastAsia="仿宋_GB2312" w:cs="宋体"/>
          <w:color w:val="auto"/>
          <w:sz w:val="32"/>
          <w:szCs w:val="32"/>
          <w:lang w:val="en-US" w:eastAsia="zh-CN"/>
        </w:rPr>
        <w:t>7.</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1"/>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1"/>
        <w:rPr>
          <w:rFonts w:hint="eastAsia"/>
          <w:lang w:val="en-US" w:eastAsia="zh-CN"/>
        </w:rPr>
      </w:pPr>
    </w:p>
    <w:tbl>
      <w:tblPr>
        <w:tblStyle w:val="8"/>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23"/>
        <w:gridCol w:w="4175"/>
        <w:gridCol w:w="885"/>
        <w:gridCol w:w="900"/>
        <w:gridCol w:w="115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4175" w:type="dxa"/>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产品功能，适用范围</w:t>
            </w:r>
          </w:p>
        </w:tc>
        <w:tc>
          <w:tcPr>
            <w:tcW w:w="885" w:type="dxa"/>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eastAsia="仿宋" w:cs="Times New Roman"/>
                <w:b/>
                <w:kern w:val="0"/>
                <w:sz w:val="24"/>
                <w:szCs w:val="24"/>
                <w:lang w:eastAsia="zh-CN"/>
              </w:rPr>
              <w:t>数量</w:t>
            </w:r>
          </w:p>
        </w:tc>
        <w:tc>
          <w:tcPr>
            <w:tcW w:w="900" w:type="dxa"/>
            <w:vAlign w:val="center"/>
          </w:tcPr>
          <w:p>
            <w:pPr>
              <w:widowControl/>
              <w:spacing w:line="360" w:lineRule="auto"/>
              <w:jc w:val="center"/>
              <w:rPr>
                <w:rFonts w:hint="eastAsia" w:eastAsia="仿宋" w:cs="Times New Roman"/>
                <w:b/>
                <w:kern w:val="0"/>
                <w:sz w:val="24"/>
                <w:szCs w:val="24"/>
                <w:lang w:val="en-US" w:eastAsia="zh-CN"/>
              </w:rPr>
            </w:pPr>
            <w:r>
              <w:rPr>
                <w:rFonts w:hint="eastAsia" w:eastAsia="仿宋" w:cs="Times New Roman"/>
                <w:b/>
                <w:kern w:val="0"/>
                <w:sz w:val="24"/>
                <w:szCs w:val="24"/>
                <w:lang w:val="en-US" w:eastAsia="zh-CN"/>
              </w:rPr>
              <w:t>单价</w:t>
            </w:r>
          </w:p>
        </w:tc>
        <w:tc>
          <w:tcPr>
            <w:tcW w:w="1155"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限价</w:t>
            </w:r>
          </w:p>
        </w:tc>
        <w:tc>
          <w:tcPr>
            <w:tcW w:w="1575" w:type="dxa"/>
            <w:vAlign w:val="center"/>
          </w:tcPr>
          <w:p>
            <w:pPr>
              <w:widowControl/>
              <w:spacing w:line="360" w:lineRule="auto"/>
              <w:jc w:val="center"/>
              <w:rPr>
                <w:rFonts w:hint="eastAsia" w:ascii="Times New Roman" w:hAnsi="Times New Roman" w:eastAsia="仿宋" w:cs="Times New Roman"/>
                <w:b/>
                <w:kern w:val="0"/>
                <w:sz w:val="24"/>
                <w:szCs w:val="24"/>
                <w:lang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kern w:val="0"/>
                <w:sz w:val="24"/>
                <w:szCs w:val="24"/>
                <w:highlight w:val="none"/>
                <w:lang w:val="en-US" w:eastAsia="zh-CN"/>
              </w:rPr>
              <w:t>1</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rPr>
            </w:pPr>
            <w:r>
              <w:rPr>
                <w:rFonts w:hint="eastAsia" w:eastAsia="仿宋" w:cs="Times New Roman"/>
                <w:bCs/>
                <w:sz w:val="24"/>
                <w:szCs w:val="24"/>
                <w:lang w:val="en-US" w:eastAsia="zh-CN"/>
              </w:rPr>
              <w:t>会议一体机</w:t>
            </w:r>
          </w:p>
        </w:tc>
        <w:tc>
          <w:tcPr>
            <w:tcW w:w="4175" w:type="dxa"/>
            <w:vAlign w:val="center"/>
          </w:tcPr>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1、86寸智能交互一体机屏幕尺寸</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86英寸刷新率：60 Hz像素间距：0.4935(H) × 0.4935(V) mm</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物理分辨率：3840 × 2160 @60 Hz</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显示尺寸</w:t>
            </w:r>
            <w:bookmarkStart w:id="29" w:name="_GoBack"/>
            <w:bookmarkEnd w:id="29"/>
            <w:r>
              <w:rPr>
                <w:rFonts w:hint="eastAsia" w:eastAsia="仿宋" w:cs="Times New Roman"/>
                <w:bCs/>
                <w:sz w:val="24"/>
                <w:szCs w:val="24"/>
                <w:lang w:val="en-US" w:eastAsia="zh-CN"/>
              </w:rPr>
              <w:t>：86 inch LED背光源</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背光源类型：DLED响应时间：6 ms色域：90% NTSC（CIE1931）（Typ.）</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色深度：10 bit对比度：1200：1（Typ.）亮度：350 cd/m²</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可视角：178°(H)/178°(V)</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CPU：四核 A55，2.0GHz 主频，内置存储：32 GB</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内存：&gt;=4 GB</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操作系统：Android 11.0和Windows</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网卡：安卓和 PC 都是千兆</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摄像头：1300W高清摄像头，6阵列拾音麦</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触控响应速度：＜ 10 ms</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触摸方式：红外触控</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触摸精度：90%以上的触摸区域为 ±1 mm</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玻璃：AG顺滑玻璃</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触控点：20点</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触摸工艺：零贴合</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内部喇叭：2个内置16W音箱</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蓝牙：内置BLE低功耗蓝牙模块，支持5.0及以下蓝牙版本</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音视频输出接口：HDMI OUT 1路，最大4K@60Hz；内置LINE OUT 1路</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控制接口：RS-232 1个</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数据传输接口：USB接口 2个前置接口，2个板载接口</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音视频输入接口：HDMI IN 2路，最大4K@60Hz；内置LINE IN 1路</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网络接口：RJ45(百兆网口) 2个</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前置接口：HDMI*1、Type-C 接口*1、USB 3.0*2、TOUCH2*1</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 xml:space="preserve">功耗：满载 ≤ 350 W </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待机功耗：=&lt;0.5 W</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运行环境</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工作湿度：10%~90% RH</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工作温度：0℃~40℃</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4K分辨率，防眩光抗指纹，不惧强光；高速书写 , 1mm触摸精度，书写自然流畅；智能笔锋优化，会议内容，一键分享：书写内容可通过扫码，自由批注，书写无边界：任意界面随心批注,一键记录；白板支持20人同时书写；无线投屏，笔记本/台式机/手机/pad无线投屏，接线困扰统统不再；支持二分屏，支持软、硬件视频会议，远程协作零距离；大型场景多屏互动，触摸书写大屏同步显示。</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OPS电脑</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系统配置内存：8GB以上；硬盘：512G固态硬盘；</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主频：2.4GHz；最高睿频：4.2GHz；CPU：Intel Core i5 1135G7；</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网卡：Integrated 10/100/1000M Adaption；WiFi支持IEEE 802.11 ax；</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散热系统：单铜管 &amp; 单风扇声卡；</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集成High Definition Audio Stereo；平台架构：Rocket Lake； 显卡：集成显卡接口；</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网络接口：RJ45 x1，存储控制接口USB 2.0/3.0 &gt;=4个，视频输出接口HDMI接口(out) &gt;=1 ；蓝牙：＞Bluetooth 4.2；电源参数峰值功耗：=&lt;95W；待机功耗：=&lt;0.5；运行环境工作湿度：10%~90%；工作温度：0~40℃；存储温度：-20°C - 60°C；</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3、无线鼠标键盘：含无线鼠标键盘</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 xml:space="preserve">4、一体机支架：智能教学一体机配套支架   </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5、智能笔</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应用快捷打开、书写控制、PPT演示翻页、激光指示；</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无线接收器：USB HID；</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充电方式： Type-C；供电方式：Li-on battery 120mAh/3.7V；</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数据传输方式：2.4GHz RF 无线技术</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电源：内置 130mAh 锂电池</w:t>
            </w:r>
          </w:p>
          <w:p>
            <w:pPr>
              <w:widowControl/>
              <w:spacing w:line="360" w:lineRule="auto"/>
              <w:jc w:val="left"/>
              <w:rPr>
                <w:rFonts w:hint="default" w:eastAsia="仿宋" w:cs="Times New Roman"/>
                <w:bCs/>
                <w:sz w:val="24"/>
                <w:szCs w:val="24"/>
                <w:lang w:val="en-US" w:eastAsia="zh-CN"/>
              </w:rPr>
            </w:pPr>
            <w:r>
              <w:rPr>
                <w:rFonts w:hint="eastAsia" w:eastAsia="仿宋" w:cs="Times New Roman"/>
                <w:bCs/>
                <w:sz w:val="24"/>
                <w:szCs w:val="24"/>
                <w:lang w:val="en-US" w:eastAsia="zh-CN"/>
              </w:rPr>
              <w:t>工作电流：约 10mA</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通讯距离：＞15m（无遮挡）；</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支持操作系统：Windows7 SP1及以上、Android6.0及以上；</w:t>
            </w:r>
            <w:r>
              <w:rPr>
                <w:rFonts w:hint="eastAsia" w:eastAsia="仿宋" w:cs="Times New Roman"/>
                <w:bCs/>
                <w:sz w:val="24"/>
                <w:szCs w:val="24"/>
                <w:lang w:val="en-US" w:eastAsia="zh-CN"/>
              </w:rPr>
              <w:cr/>
            </w:r>
            <w:r>
              <w:rPr>
                <w:rFonts w:hint="eastAsia" w:eastAsia="仿宋" w:cs="Times New Roman"/>
                <w:bCs/>
                <w:sz w:val="24"/>
                <w:szCs w:val="24"/>
                <w:lang w:val="en-US" w:eastAsia="zh-CN"/>
              </w:rPr>
              <w:t>工作温度：-30~55℃</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电池循环寿命：500次，电池容量≥80%</w:t>
            </w:r>
            <w:r>
              <w:rPr>
                <w:rFonts w:hint="eastAsia" w:eastAsia="仿宋" w:cs="Times New Roman"/>
                <w:bCs/>
                <w:sz w:val="24"/>
                <w:szCs w:val="24"/>
                <w:lang w:val="en-US" w:eastAsia="zh-CN"/>
              </w:rPr>
              <w:cr/>
            </w:r>
            <w:r>
              <w:rPr>
                <w:rFonts w:hint="eastAsia" w:eastAsia="仿宋" w:cs="Times New Roman"/>
                <w:bCs/>
                <w:sz w:val="24"/>
                <w:szCs w:val="24"/>
                <w:lang w:val="en-US" w:eastAsia="zh-CN"/>
              </w:rPr>
              <w:t xml:space="preserve">说明具体功能按键说明见产品图 </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投屏器</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支持 Windows7 / Windows10 USB接口即插即用</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支持WiFi 2.4G/5G 双频 支持1080P分辨率 超低功耗 支持OTA升级</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备注说明：接口：USB2.0*1、按键*1</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支持系统：windows7/8/8.1/10；mac OS 10.10~10.13</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OTA升级：支持</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分辨率：1080P</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帧率：20fps - 30fps</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 xml:space="preserve">传输延迟：≤90ms；传输距离：≤12米 </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WiFi类型：2.4G/5G 双频WIFI</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无线速率：≤400Mbps</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无线传输协议：IEEE 802.11 a/g/n/ac</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频段：2.4G&amp;5.0G</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加密：AES</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验证协议：WAP2-PSK</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无线路由器</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AX1800双频千兆WiFi-6 无线路由器</w:t>
            </w:r>
          </w:p>
          <w:p>
            <w:pPr>
              <w:widowControl/>
              <w:spacing w:line="360" w:lineRule="auto"/>
              <w:jc w:val="left"/>
              <w:rPr>
                <w:rFonts w:hint="eastAsia" w:eastAsia="仿宋" w:cs="Times New Roman"/>
                <w:bCs/>
                <w:sz w:val="24"/>
                <w:szCs w:val="24"/>
                <w:lang w:val="en-US" w:eastAsia="zh-CN"/>
              </w:rPr>
            </w:pPr>
            <w:r>
              <w:rPr>
                <w:rFonts w:hint="eastAsia" w:eastAsia="仿宋" w:cs="Times New Roman"/>
                <w:bCs/>
                <w:sz w:val="24"/>
                <w:szCs w:val="24"/>
                <w:lang w:val="en-US" w:eastAsia="zh-CN"/>
              </w:rPr>
              <w:t>2.4GHz、5GHz双频段均支持新一代WiFi-6标准，双频并发，无线速率高达1775Mbps，通过更高的子载波数量、1024QAM调制</w:t>
            </w:r>
          </w:p>
          <w:p>
            <w:pPr>
              <w:widowControl/>
              <w:spacing w:line="360" w:lineRule="auto"/>
              <w:jc w:val="left"/>
              <w:rPr>
                <w:rFonts w:hint="default" w:ascii="宋体" w:hAnsi="宋体" w:cs="宋体"/>
                <w:sz w:val="18"/>
                <w:szCs w:val="18"/>
                <w:lang w:val="en-US" w:eastAsia="zh-CN"/>
              </w:rPr>
            </w:pPr>
            <w:r>
              <w:rPr>
                <w:rFonts w:hint="eastAsia" w:eastAsia="仿宋" w:cs="Times New Roman"/>
                <w:bCs/>
                <w:sz w:val="24"/>
                <w:szCs w:val="24"/>
                <w:lang w:val="en-US" w:eastAsia="zh-CN"/>
              </w:rPr>
              <w:t>全千兆有线端口，无需区分WAN/LAN，支持网口盲插</w:t>
            </w:r>
          </w:p>
        </w:tc>
        <w:tc>
          <w:tcPr>
            <w:tcW w:w="88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1</w:t>
            </w:r>
          </w:p>
        </w:tc>
        <w:tc>
          <w:tcPr>
            <w:tcW w:w="900" w:type="dxa"/>
            <w:vAlign w:val="center"/>
          </w:tcPr>
          <w:p>
            <w:pPr>
              <w:widowControl/>
              <w:spacing w:line="360" w:lineRule="auto"/>
              <w:jc w:val="center"/>
              <w:rPr>
                <w:rFonts w:hint="default" w:eastAsia="仿宋" w:cs="Times New Roman"/>
                <w:bCs/>
                <w:sz w:val="24"/>
                <w:szCs w:val="24"/>
                <w:lang w:val="en-US" w:eastAsia="zh-CN"/>
              </w:rPr>
            </w:pPr>
            <w:r>
              <w:rPr>
                <w:rFonts w:hint="eastAsia" w:eastAsia="仿宋" w:cs="Times New Roman"/>
                <w:bCs/>
                <w:sz w:val="24"/>
                <w:szCs w:val="24"/>
                <w:lang w:val="en-US" w:eastAsia="zh-CN"/>
              </w:rPr>
              <w:t>32000元</w:t>
            </w:r>
          </w:p>
        </w:tc>
        <w:tc>
          <w:tcPr>
            <w:tcW w:w="115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32000元</w:t>
            </w:r>
          </w:p>
        </w:tc>
        <w:tc>
          <w:tcPr>
            <w:tcW w:w="1575" w:type="dxa"/>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auto" w:sz="4" w:space="0"/>
              <w:left w:val="single" w:color="auto" w:sz="4" w:space="0"/>
              <w:bottom w:val="single" w:color="auto" w:sz="4" w:space="0"/>
            </w:tcBorders>
            <w:vAlign w:val="center"/>
          </w:tcPr>
          <w:p>
            <w:pPr>
              <w:widowControl/>
              <w:spacing w:line="360" w:lineRule="auto"/>
              <w:jc w:val="left"/>
              <w:rPr>
                <w:rFonts w:hint="default" w:ascii="Times New Roman" w:hAnsi="Times New Roman" w:eastAsia="仿宋" w:cs="Times New Roman"/>
                <w:bCs/>
                <w:sz w:val="24"/>
                <w:szCs w:val="24"/>
                <w:lang w:val="en-US" w:eastAsia="zh-CN"/>
              </w:rPr>
            </w:pPr>
            <w:r>
              <w:rPr>
                <w:rFonts w:hint="eastAsia" w:ascii="方正仿宋_GBK" w:hAnsi="方正仿宋_GBK" w:eastAsia="方正仿宋_GBK" w:cs="方正仿宋_GBK"/>
                <w:color w:val="auto"/>
                <w:sz w:val="28"/>
                <w:szCs w:val="28"/>
                <w:highlight w:val="none"/>
                <w:lang w:val="en-US" w:eastAsia="zh-CN"/>
              </w:rPr>
              <w:t>商务部分要求：1.中标通知发出后，1周内送到医院制定地点并完成安装调试。2.试运行一个月无异常后进行验收，合格后支付货款95%，剩余5%待合同权利义务终止后支付，付款时供应商提供发票和验收记录。3.产品质量保证期从验收合格后5年，5年内任何问题厂家或供应商应2小时响应，6小时内上门处理，维修维护配件须为原厂件且不再收取费用。4.供应商因违约或产品质量问题导致采购人经济损失，应承担合同金额30%的违约金，违约金不足以赔偿损失的应补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供应商名称（盖章）：               </w:t>
            </w:r>
          </w:p>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微软雅黑" w:cs="Times New Roman"/>
                <w:i w:val="0"/>
                <w:caps w:val="0"/>
                <w:color w:val="555555"/>
                <w:spacing w:val="0"/>
                <w:kern w:val="0"/>
                <w:sz w:val="21"/>
                <w:szCs w:val="21"/>
                <w:lang w:val="en-US" w:eastAsia="zh-CN" w:bidi="ar"/>
              </w:rPr>
              <w:t xml:space="preserve">                                           日期：               </w:t>
            </w:r>
          </w:p>
        </w:tc>
      </w:tr>
    </w:tbl>
    <w:p>
      <w:pPr>
        <w:numPr>
          <w:ilvl w:val="0"/>
          <w:numId w:val="0"/>
        </w:numPr>
        <w:wordWrap w:val="0"/>
        <w:spacing w:line="440" w:lineRule="exact"/>
        <w:ind w:firstLine="562" w:firstLineChars="200"/>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仿宋" w:hAnsi="仿宋" w:eastAsia="仿宋" w:cs="仿宋"/>
          <w:b/>
          <w:bCs/>
          <w:color w:val="auto"/>
          <w:sz w:val="28"/>
          <w:szCs w:val="21"/>
          <w:lang w:val="en-US" w:eastAsia="zh-CN"/>
        </w:rPr>
        <w:t>其他要求：1.</w:t>
      </w:r>
      <w:r>
        <w:rPr>
          <w:rFonts w:hint="eastAsia" w:ascii="方正仿宋_GBK" w:hAnsi="方正仿宋_GBK" w:eastAsia="方正仿宋_GBK" w:cs="方正仿宋_GBK"/>
          <w:color w:val="auto"/>
          <w:sz w:val="28"/>
          <w:szCs w:val="28"/>
          <w:highlight w:val="none"/>
        </w:rPr>
        <w:t>本次报价为人民币</w:t>
      </w:r>
      <w:r>
        <w:rPr>
          <w:rFonts w:hint="eastAsia" w:ascii="方正仿宋_GBK" w:hAnsi="方正仿宋_GBK" w:eastAsia="方正仿宋_GBK" w:cs="方正仿宋_GBK"/>
          <w:color w:val="auto"/>
          <w:sz w:val="28"/>
          <w:szCs w:val="28"/>
          <w:highlight w:val="none"/>
          <w:lang w:val="en-US" w:eastAsia="zh-CN"/>
        </w:rPr>
        <w:t>包干</w:t>
      </w:r>
      <w:r>
        <w:rPr>
          <w:rFonts w:hint="eastAsia" w:ascii="方正仿宋_GBK" w:hAnsi="方正仿宋_GBK" w:eastAsia="方正仿宋_GBK" w:cs="方正仿宋_GBK"/>
          <w:color w:val="auto"/>
          <w:sz w:val="28"/>
          <w:szCs w:val="28"/>
          <w:highlight w:val="none"/>
        </w:rPr>
        <w:t>价，包含：</w:t>
      </w:r>
      <w:r>
        <w:rPr>
          <w:rFonts w:hint="eastAsia" w:ascii="方正仿宋_GBK" w:hAnsi="方正仿宋_GBK" w:eastAsia="方正仿宋_GBK" w:cs="方正仿宋_GBK"/>
          <w:color w:val="auto"/>
          <w:sz w:val="28"/>
          <w:szCs w:val="28"/>
          <w:highlight w:val="none"/>
          <w:lang w:val="en-US" w:eastAsia="zh-CN"/>
        </w:rPr>
        <w:t>人工费、材料费、安装费、运输含装卸费、安全施工</w:t>
      </w:r>
      <w:r>
        <w:rPr>
          <w:rFonts w:hint="eastAsia" w:ascii="方正仿宋_GBK" w:hAnsi="方正仿宋_GBK" w:eastAsia="方正仿宋_GBK" w:cs="方正仿宋_GBK"/>
          <w:color w:val="auto"/>
          <w:sz w:val="28"/>
          <w:szCs w:val="28"/>
          <w:highlight w:val="none"/>
        </w:rPr>
        <w:t>费、税费、</w:t>
      </w:r>
      <w:r>
        <w:rPr>
          <w:rFonts w:hint="eastAsia" w:ascii="方正仿宋_GBK" w:hAnsi="方正仿宋_GBK" w:eastAsia="方正仿宋_GBK" w:cs="方正仿宋_GBK"/>
          <w:color w:val="auto"/>
          <w:sz w:val="28"/>
          <w:szCs w:val="28"/>
          <w:highlight w:val="none"/>
          <w:lang w:val="en-US" w:eastAsia="zh-CN"/>
        </w:rPr>
        <w:t>场地清洁费等</w:t>
      </w:r>
      <w:r>
        <w:rPr>
          <w:rFonts w:hint="eastAsia" w:ascii="方正仿宋_GBK" w:hAnsi="方正仿宋_GBK" w:eastAsia="方正仿宋_GBK" w:cs="方正仿宋_GBK"/>
          <w:color w:val="auto"/>
          <w:sz w:val="28"/>
          <w:szCs w:val="28"/>
          <w:highlight w:val="none"/>
        </w:rPr>
        <w:t>完成本项目</w:t>
      </w:r>
      <w:r>
        <w:rPr>
          <w:rFonts w:hint="eastAsia" w:ascii="方正仿宋_GBK" w:hAnsi="方正仿宋_GBK" w:eastAsia="方正仿宋_GBK" w:cs="方正仿宋_GBK"/>
          <w:color w:val="auto"/>
          <w:sz w:val="28"/>
          <w:szCs w:val="28"/>
          <w:highlight w:val="none"/>
          <w:lang w:val="en-US" w:eastAsia="zh-CN"/>
        </w:rPr>
        <w:t>所需</w:t>
      </w:r>
      <w:r>
        <w:rPr>
          <w:rFonts w:hint="eastAsia" w:ascii="方正仿宋_GBK" w:hAnsi="方正仿宋_GBK" w:eastAsia="方正仿宋_GBK" w:cs="方正仿宋_GBK"/>
          <w:color w:val="auto"/>
          <w:sz w:val="28"/>
          <w:szCs w:val="28"/>
          <w:highlight w:val="none"/>
        </w:rPr>
        <w:t>的一切费用。因成交供应商自身原因造成漏报、少报皆由其自行承担责任，采购人不再补偿。</w:t>
      </w:r>
      <w:r>
        <w:rPr>
          <w:rFonts w:hint="eastAsia" w:ascii="方正仿宋_GBK" w:hAnsi="方正仿宋_GBK" w:eastAsia="方正仿宋_GBK" w:cs="方正仿宋_GBK"/>
          <w:color w:val="auto"/>
          <w:sz w:val="28"/>
          <w:szCs w:val="28"/>
          <w:highlight w:val="none"/>
          <w:lang w:val="en-US" w:eastAsia="zh-CN"/>
        </w:rPr>
        <w:t>施工中出现的安全事故由供应商自行承担。2.报价表中的服务质量及验收标准供应商须完全响应，本项目采用最低评标价法评选。如超出投标报价、未在规定的时间内上交资料及资料不齐全的为无效报价。</w:t>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0" w:name="_Toc156730450"/>
      <w:bookmarkStart w:id="1" w:name="_Toc175017342"/>
      <w:bookmarkStart w:id="2" w:name="_Toc173677397"/>
      <w:bookmarkStart w:id="3" w:name="_Toc156815770"/>
      <w:bookmarkStart w:id="4" w:name="_Toc128229916"/>
      <w:bookmarkStart w:id="5" w:name="_Toc156196559"/>
      <w:bookmarkStart w:id="6" w:name="_Toc128229302"/>
      <w:bookmarkStart w:id="7" w:name="_Toc166549448"/>
      <w:bookmarkStart w:id="8" w:name="_Toc156196470"/>
      <w:bookmarkStart w:id="9" w:name="_Toc128229745"/>
      <w:bookmarkStart w:id="10" w:name="_Toc166139912"/>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28229303"/>
      <w:bookmarkStart w:id="12" w:name="_Toc175017343"/>
      <w:bookmarkStart w:id="13" w:name="_Toc166549449"/>
      <w:bookmarkStart w:id="14" w:name="_Toc128229746"/>
      <w:bookmarkStart w:id="15" w:name="_Toc156196560"/>
      <w:bookmarkStart w:id="16" w:name="_Toc156196471"/>
      <w:bookmarkStart w:id="17" w:name="_Toc156815771"/>
      <w:bookmarkStart w:id="18" w:name="_Toc173677398"/>
      <w:bookmarkStart w:id="19" w:name="_Toc156730451"/>
      <w:bookmarkStart w:id="20" w:name="_Toc166139913"/>
      <w:bookmarkStart w:id="21" w:name="_Toc128229917"/>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56196472"/>
      <w:bookmarkStart w:id="23" w:name="_Toc128229304"/>
      <w:bookmarkStart w:id="24" w:name="_Toc237057793"/>
      <w:bookmarkStart w:id="25" w:name="_Toc175017344"/>
      <w:bookmarkStart w:id="26" w:name="_Toc128014297"/>
      <w:bookmarkStart w:id="27" w:name="_Toc128229747"/>
      <w:bookmarkStart w:id="28" w:name="_Toc173677399"/>
    </w:p>
    <w:p>
      <w:pPr>
        <w:pStyle w:val="4"/>
        <w:numPr>
          <w:ilvl w:val="0"/>
          <w:numId w:val="1"/>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2"/>
      <w:bookmarkEnd w:id="23"/>
      <w:bookmarkEnd w:id="24"/>
      <w:bookmarkEnd w:id="25"/>
      <w:bookmarkEnd w:id="26"/>
      <w:bookmarkEnd w:id="27"/>
      <w:bookmarkEnd w:id="28"/>
    </w:p>
    <w:p>
      <w:pPr>
        <w:numPr>
          <w:ilvl w:val="0"/>
          <w:numId w:val="0"/>
        </w:numPr>
        <w:jc w:val="center"/>
        <w:rPr>
          <w:b/>
          <w:bCs/>
          <w:sz w:val="32"/>
          <w:szCs w:val="32"/>
        </w:rPr>
      </w:pPr>
      <w:r>
        <w:rPr>
          <w:rFonts w:hint="eastAsia"/>
          <w:b/>
          <w:bCs/>
          <w:color w:val="auto"/>
          <w:sz w:val="32"/>
          <w:szCs w:val="32"/>
        </w:rPr>
        <w:t>投标人法定代表人授权委托书（格式）</w:t>
      </w:r>
    </w:p>
    <w:p>
      <w:pPr>
        <w:pStyle w:val="5"/>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2"/>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2"/>
        <w:jc w:val="left"/>
        <w:rPr>
          <w:rFonts w:hint="eastAsia" w:ascii="仿宋_GB2312" w:hAnsi="宋体"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t>7.</w:t>
      </w:r>
      <w:r>
        <w:rPr>
          <w:rFonts w:hint="eastAsia" w:ascii="仿宋_GB2312" w:hAnsi="宋体" w:eastAsia="仿宋_GB2312"/>
          <w:b/>
          <w:snapToGrid w:val="0"/>
          <w:color w:val="auto"/>
          <w:kern w:val="0"/>
          <w:sz w:val="28"/>
          <w:szCs w:val="28"/>
          <w:lang w:val="en-US" w:eastAsia="zh-CN"/>
        </w:rPr>
        <w:t>投标</w:t>
      </w:r>
      <w:r>
        <w:rPr>
          <w:rFonts w:hint="eastAsia" w:ascii="仿宋_GB2312" w:hAnsi="宋体" w:eastAsia="仿宋_GB2312"/>
          <w:b/>
          <w:snapToGrid w:val="0"/>
          <w:color w:val="auto"/>
          <w:kern w:val="0"/>
          <w:sz w:val="28"/>
          <w:szCs w:val="28"/>
        </w:rPr>
        <w:t>廉政承诺书</w:t>
      </w:r>
    </w:p>
    <w:p>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CE64C8D"/>
    <w:rsid w:val="0FD01451"/>
    <w:rsid w:val="1AF86BE0"/>
    <w:rsid w:val="1CF00EFC"/>
    <w:rsid w:val="236757CC"/>
    <w:rsid w:val="2FC44243"/>
    <w:rsid w:val="33FB61AD"/>
    <w:rsid w:val="376E6279"/>
    <w:rsid w:val="4AE139DB"/>
    <w:rsid w:val="4BDB0A24"/>
    <w:rsid w:val="4C31315D"/>
    <w:rsid w:val="61130716"/>
    <w:rsid w:val="61143219"/>
    <w:rsid w:val="69D01878"/>
    <w:rsid w:val="6DD05A39"/>
    <w:rsid w:val="6EC6360F"/>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Date"/>
    <w:basedOn w:val="1"/>
    <w:next w:val="1"/>
    <w:qFormat/>
    <w:uiPriority w:val="0"/>
    <w:rPr>
      <w:sz w:val="28"/>
    </w:rPr>
  </w:style>
  <w:style w:type="paragraph" w:styleId="6">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2">
    <w:name w:val="font91"/>
    <w:basedOn w:val="9"/>
    <w:qFormat/>
    <w:uiPriority w:val="0"/>
    <w:rPr>
      <w:rFonts w:ascii="楷体" w:hAnsi="楷体" w:eastAsia="楷体" w:cs="楷体"/>
      <w:color w:val="000000"/>
      <w:sz w:val="22"/>
      <w:szCs w:val="22"/>
      <w:u w:val="none"/>
      <w:vertAlign w:val="superscript"/>
    </w:rPr>
  </w:style>
  <w:style w:type="character" w:customStyle="1" w:styleId="13">
    <w:name w:val="font21"/>
    <w:basedOn w:val="9"/>
    <w:qFormat/>
    <w:uiPriority w:val="0"/>
    <w:rPr>
      <w:rFonts w:hint="eastAsia" w:ascii="仿宋" w:hAnsi="仿宋" w:eastAsia="仿宋" w:cs="仿宋"/>
      <w:b/>
      <w:bCs/>
      <w:color w:val="000000"/>
      <w:sz w:val="24"/>
      <w:szCs w:val="24"/>
      <w:u w:val="none"/>
    </w:rPr>
  </w:style>
  <w:style w:type="paragraph" w:customStyle="1" w:styleId="14">
    <w:name w:val="BodyText"/>
    <w:basedOn w:val="1"/>
    <w:next w:val="15"/>
    <w:qFormat/>
    <w:uiPriority w:val="0"/>
    <w:pPr>
      <w:jc w:val="both"/>
      <w:textAlignment w:val="baseline"/>
    </w:pPr>
    <w:rPr>
      <w:rFonts w:ascii="仿宋_GB2312" w:eastAsia="仿宋_GB2312"/>
      <w:kern w:val="2"/>
      <w:sz w:val="32"/>
      <w:lang w:val="en-US" w:eastAsia="zh-CN" w:bidi="ar-SA"/>
    </w:rPr>
  </w:style>
  <w:style w:type="paragraph" w:customStyle="1" w:styleId="15">
    <w:name w:val="BodyTextIndent"/>
    <w:basedOn w:val="1"/>
    <w:qFormat/>
    <w:uiPriority w:val="0"/>
    <w:pPr>
      <w:spacing w:line="700" w:lineRule="exact"/>
      <w:ind w:left="960"/>
      <w:jc w:val="both"/>
      <w:textAlignment w:val="baseline"/>
    </w:pPr>
    <w:rPr>
      <w:kern w:val="2"/>
      <w:sz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王静-采购办</cp:lastModifiedBy>
  <dcterms:modified xsi:type="dcterms:W3CDTF">2024-01-02T08:10:38Z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CD4EB6FF00EC4D58B38DB21A2BE26D7E</vt:lpwstr>
  </property>
</Properties>
</file>