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项目名称：公交一卡通</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项目编号：BSRMYY-YNCG-2024-06003</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4378"/>
        <w:gridCol w:w="1063"/>
        <w:gridCol w:w="130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378"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63"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w:t>
            </w:r>
            <w:r>
              <w:rPr>
                <w:rFonts w:hint="eastAsia" w:eastAsia="仿宋" w:cs="Times New Roman"/>
                <w:b/>
                <w:kern w:val="0"/>
                <w:sz w:val="24"/>
                <w:szCs w:val="24"/>
                <w:lang w:val="en-US" w:eastAsia="zh-CN"/>
              </w:rPr>
              <w:t>个</w:t>
            </w:r>
            <w:r>
              <w:rPr>
                <w:rFonts w:hint="eastAsia" w:eastAsia="仿宋" w:cs="Times New Roman"/>
                <w:b/>
                <w:kern w:val="0"/>
                <w:sz w:val="24"/>
                <w:szCs w:val="24"/>
                <w:lang w:eastAsia="zh-CN"/>
              </w:rPr>
              <w:t>）</w:t>
            </w:r>
          </w:p>
        </w:tc>
        <w:tc>
          <w:tcPr>
            <w:tcW w:w="130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283"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迷你式公交一卡通</w:t>
            </w:r>
          </w:p>
        </w:tc>
        <w:tc>
          <w:tcPr>
            <w:tcW w:w="4378" w:type="dxa"/>
            <w:vMerge w:val="restart"/>
            <w:vAlign w:val="center"/>
          </w:tcPr>
          <w:p>
            <w:pPr>
              <w:ind w:left="0" w:leftChars="0" w:firstLine="0" w:firstLineChars="0"/>
              <w:jc w:val="left"/>
              <w:rPr>
                <w:rFonts w:hint="eastAsia"/>
                <w:sz w:val="22"/>
                <w:szCs w:val="22"/>
                <w:lang w:val="en-US" w:eastAsia="zh-CN"/>
              </w:rPr>
            </w:pPr>
            <w:r>
              <w:rPr>
                <w:rFonts w:hint="eastAsia"/>
                <w:sz w:val="22"/>
                <w:szCs w:val="22"/>
                <w:lang w:val="en-US" w:eastAsia="zh-CN"/>
              </w:rPr>
              <w:t>1.</w:t>
            </w:r>
            <w:r>
              <w:rPr>
                <w:rFonts w:hint="eastAsia"/>
                <w:sz w:val="22"/>
                <w:szCs w:val="22"/>
              </w:rPr>
              <w:t>用户界面</w:t>
            </w:r>
            <w:r>
              <w:rPr>
                <w:rFonts w:hint="eastAsia"/>
                <w:sz w:val="22"/>
                <w:szCs w:val="22"/>
                <w:lang w:val="en-US" w:eastAsia="zh-CN"/>
              </w:rPr>
              <w:t>:</w:t>
            </w:r>
            <w:r>
              <w:rPr>
                <w:rFonts w:hint="eastAsia"/>
                <w:sz w:val="22"/>
                <w:szCs w:val="22"/>
              </w:rPr>
              <w:t>非接触</w:t>
            </w:r>
          </w:p>
          <w:p>
            <w:pPr>
              <w:ind w:left="0" w:leftChars="0" w:firstLine="0" w:firstLineChars="0"/>
              <w:jc w:val="left"/>
              <w:rPr>
                <w:sz w:val="22"/>
                <w:szCs w:val="22"/>
              </w:rPr>
            </w:pPr>
            <w:r>
              <w:rPr>
                <w:rFonts w:hint="eastAsia"/>
                <w:sz w:val="22"/>
                <w:szCs w:val="22"/>
                <w:lang w:val="en-US" w:eastAsia="zh-CN"/>
              </w:rPr>
              <w:t>2.</w:t>
            </w:r>
            <w:r>
              <w:rPr>
                <w:rFonts w:hint="eastAsia"/>
                <w:sz w:val="22"/>
                <w:szCs w:val="22"/>
              </w:rPr>
              <w:t>微处理器</w:t>
            </w:r>
            <w:r>
              <w:rPr>
                <w:rFonts w:hint="eastAsia"/>
                <w:sz w:val="22"/>
                <w:szCs w:val="22"/>
                <w:lang w:eastAsia="zh-CN"/>
              </w:rPr>
              <w:t>：</w:t>
            </w:r>
            <w:r>
              <w:rPr>
                <w:sz w:val="22"/>
                <w:szCs w:val="22"/>
              </w:rPr>
              <w:t>8/16</w:t>
            </w:r>
            <w:r>
              <w:rPr>
                <w:rFonts w:hint="eastAsia"/>
                <w:sz w:val="22"/>
                <w:szCs w:val="22"/>
              </w:rPr>
              <w:t>位处理器</w:t>
            </w:r>
          </w:p>
          <w:p>
            <w:pPr>
              <w:ind w:left="0" w:leftChars="0" w:firstLine="0" w:firstLineChars="0"/>
              <w:jc w:val="left"/>
              <w:rPr>
                <w:sz w:val="22"/>
                <w:szCs w:val="22"/>
              </w:rPr>
            </w:pPr>
            <w:r>
              <w:rPr>
                <w:rFonts w:hint="eastAsia"/>
                <w:sz w:val="22"/>
                <w:szCs w:val="22"/>
                <w:lang w:val="en-US" w:eastAsia="zh-CN"/>
              </w:rPr>
              <w:t>3.</w:t>
            </w:r>
            <w:r>
              <w:rPr>
                <w:rFonts w:hint="eastAsia"/>
                <w:sz w:val="22"/>
                <w:szCs w:val="22"/>
              </w:rPr>
              <w:t>用户空间</w:t>
            </w:r>
            <w:r>
              <w:rPr>
                <w:rFonts w:hint="eastAsia"/>
                <w:sz w:val="22"/>
                <w:szCs w:val="22"/>
                <w:lang w:val="en-US" w:eastAsia="zh-CN"/>
              </w:rPr>
              <w:t>:</w:t>
            </w:r>
            <w:r>
              <w:rPr>
                <w:sz w:val="22"/>
                <w:szCs w:val="22"/>
              </w:rPr>
              <w:t>≥8</w:t>
            </w:r>
            <w:r>
              <w:rPr>
                <w:rFonts w:hint="eastAsia"/>
                <w:sz w:val="22"/>
                <w:szCs w:val="22"/>
                <w:lang w:val="en-US" w:eastAsia="zh-CN"/>
              </w:rPr>
              <w:t>0</w:t>
            </w:r>
            <w:r>
              <w:rPr>
                <w:sz w:val="22"/>
                <w:szCs w:val="22"/>
              </w:rPr>
              <w:t>K</w:t>
            </w:r>
            <w:r>
              <w:rPr>
                <w:rFonts w:hint="eastAsia"/>
                <w:sz w:val="22"/>
                <w:szCs w:val="22"/>
              </w:rPr>
              <w:t>字节</w:t>
            </w:r>
          </w:p>
          <w:p>
            <w:pPr>
              <w:ind w:left="0" w:leftChars="0" w:firstLine="0" w:firstLineChars="0"/>
              <w:jc w:val="left"/>
              <w:rPr>
                <w:sz w:val="22"/>
                <w:szCs w:val="22"/>
              </w:rPr>
            </w:pPr>
            <w:r>
              <w:rPr>
                <w:rFonts w:hint="eastAsia"/>
                <w:sz w:val="22"/>
                <w:szCs w:val="22"/>
                <w:lang w:val="en-US" w:eastAsia="zh-CN"/>
              </w:rPr>
              <w:t>4.</w:t>
            </w:r>
            <w:r>
              <w:rPr>
                <w:rFonts w:hint="eastAsia"/>
                <w:sz w:val="22"/>
                <w:szCs w:val="22"/>
              </w:rPr>
              <w:t>芯片安全等级</w:t>
            </w:r>
            <w:r>
              <w:rPr>
                <w:rFonts w:hint="eastAsia"/>
                <w:sz w:val="22"/>
                <w:szCs w:val="22"/>
                <w:lang w:val="en-US" w:eastAsia="zh-CN"/>
              </w:rPr>
              <w:t>:</w:t>
            </w:r>
            <w:r>
              <w:rPr>
                <w:rFonts w:hint="eastAsia"/>
                <w:sz w:val="22"/>
                <w:szCs w:val="22"/>
              </w:rPr>
              <w:t>通过</w:t>
            </w:r>
            <w:r>
              <w:rPr>
                <w:sz w:val="22"/>
                <w:szCs w:val="22"/>
              </w:rPr>
              <w:t>EAL</w:t>
            </w:r>
            <w:r>
              <w:rPr>
                <w:rFonts w:hint="eastAsia"/>
                <w:sz w:val="22"/>
                <w:szCs w:val="22"/>
                <w:lang w:val="en-US" w:eastAsia="zh-CN"/>
              </w:rPr>
              <w:t>4</w:t>
            </w:r>
            <w:r>
              <w:rPr>
                <w:sz w:val="22"/>
                <w:szCs w:val="22"/>
              </w:rPr>
              <w:t>+</w:t>
            </w:r>
            <w:r>
              <w:rPr>
                <w:rFonts w:hint="eastAsia"/>
                <w:sz w:val="22"/>
                <w:szCs w:val="22"/>
              </w:rPr>
              <w:t>或以上安全等级认证</w:t>
            </w:r>
          </w:p>
          <w:p>
            <w:pPr>
              <w:ind w:left="0" w:leftChars="0" w:firstLine="0" w:firstLineChars="0"/>
              <w:jc w:val="left"/>
              <w:rPr>
                <w:sz w:val="22"/>
                <w:szCs w:val="22"/>
              </w:rPr>
            </w:pPr>
            <w:r>
              <w:rPr>
                <w:rFonts w:hint="eastAsia"/>
                <w:sz w:val="22"/>
                <w:szCs w:val="22"/>
                <w:lang w:val="en-US" w:eastAsia="zh-CN"/>
              </w:rPr>
              <w:t>5.</w:t>
            </w:r>
            <w:r>
              <w:rPr>
                <w:rFonts w:hint="eastAsia"/>
                <w:sz w:val="22"/>
                <w:szCs w:val="22"/>
              </w:rPr>
              <w:t>芯片工艺</w:t>
            </w:r>
            <w:r>
              <w:rPr>
                <w:rFonts w:hint="eastAsia"/>
                <w:sz w:val="22"/>
                <w:szCs w:val="22"/>
                <w:lang w:val="en-US" w:eastAsia="zh-CN"/>
              </w:rPr>
              <w:t>:</w:t>
            </w:r>
            <w:r>
              <w:rPr>
                <w:sz w:val="22"/>
                <w:szCs w:val="22"/>
              </w:rPr>
              <w:t>0.35μm</w:t>
            </w:r>
            <w:r>
              <w:rPr>
                <w:rFonts w:hint="eastAsia"/>
                <w:sz w:val="22"/>
                <w:szCs w:val="22"/>
              </w:rPr>
              <w:t>以下</w:t>
            </w:r>
          </w:p>
          <w:p>
            <w:pPr>
              <w:ind w:left="0" w:leftChars="0" w:firstLine="0" w:firstLineChars="0"/>
              <w:jc w:val="left"/>
              <w:rPr>
                <w:sz w:val="22"/>
                <w:szCs w:val="22"/>
              </w:rPr>
            </w:pPr>
            <w:r>
              <w:rPr>
                <w:rFonts w:hint="eastAsia"/>
                <w:sz w:val="22"/>
                <w:szCs w:val="22"/>
                <w:lang w:val="en-US" w:eastAsia="zh-CN"/>
              </w:rPr>
              <w:t>6.</w:t>
            </w:r>
            <w:r>
              <w:rPr>
                <w:sz w:val="22"/>
                <w:szCs w:val="22"/>
              </w:rPr>
              <w:t>DES</w:t>
            </w:r>
            <w:r>
              <w:rPr>
                <w:rFonts w:hint="eastAsia"/>
                <w:sz w:val="22"/>
                <w:szCs w:val="22"/>
              </w:rPr>
              <w:t>协处理器</w:t>
            </w:r>
            <w:r>
              <w:rPr>
                <w:rFonts w:hint="eastAsia"/>
                <w:sz w:val="22"/>
                <w:szCs w:val="22"/>
                <w:lang w:val="en-US" w:eastAsia="zh-CN"/>
              </w:rPr>
              <w:t>:</w:t>
            </w:r>
            <w:r>
              <w:rPr>
                <w:rFonts w:hint="eastAsia"/>
                <w:sz w:val="22"/>
                <w:szCs w:val="22"/>
              </w:rPr>
              <w:t>硬件</w:t>
            </w:r>
            <w:r>
              <w:rPr>
                <w:sz w:val="22"/>
                <w:szCs w:val="22"/>
              </w:rPr>
              <w:t>Triple-DES</w:t>
            </w:r>
            <w:r>
              <w:rPr>
                <w:rFonts w:hint="eastAsia"/>
                <w:sz w:val="22"/>
                <w:szCs w:val="22"/>
              </w:rPr>
              <w:t>协处理器</w:t>
            </w:r>
          </w:p>
          <w:p>
            <w:pPr>
              <w:ind w:left="0" w:leftChars="0" w:firstLine="0" w:firstLineChars="0"/>
              <w:jc w:val="left"/>
              <w:rPr>
                <w:sz w:val="22"/>
                <w:szCs w:val="22"/>
              </w:rPr>
            </w:pPr>
            <w:r>
              <w:rPr>
                <w:rFonts w:hint="eastAsia"/>
                <w:sz w:val="22"/>
                <w:szCs w:val="22"/>
                <w:lang w:val="en-US" w:eastAsia="zh-CN"/>
              </w:rPr>
              <w:t>7.</w:t>
            </w:r>
            <w:r>
              <w:rPr>
                <w:rFonts w:hint="eastAsia"/>
                <w:sz w:val="22"/>
                <w:szCs w:val="22"/>
              </w:rPr>
              <w:t>随机数发生器</w:t>
            </w:r>
            <w:r>
              <w:rPr>
                <w:rFonts w:hint="eastAsia"/>
                <w:sz w:val="22"/>
                <w:szCs w:val="22"/>
                <w:lang w:val="en-US" w:eastAsia="zh-CN"/>
              </w:rPr>
              <w:t>:</w:t>
            </w:r>
            <w:r>
              <w:rPr>
                <w:rFonts w:hint="eastAsia"/>
                <w:sz w:val="22"/>
                <w:szCs w:val="22"/>
              </w:rPr>
              <w:t>硬件真随机数发生器</w:t>
            </w:r>
          </w:p>
          <w:p>
            <w:pPr>
              <w:ind w:left="0" w:leftChars="0" w:firstLine="0" w:firstLineChars="0"/>
              <w:jc w:val="left"/>
              <w:rPr>
                <w:sz w:val="22"/>
                <w:szCs w:val="22"/>
              </w:rPr>
            </w:pPr>
            <w:r>
              <w:rPr>
                <w:rFonts w:hint="eastAsia"/>
                <w:sz w:val="22"/>
                <w:szCs w:val="22"/>
                <w:lang w:val="en-US" w:eastAsia="zh-CN"/>
              </w:rPr>
              <w:t>8.</w:t>
            </w:r>
            <w:r>
              <w:rPr>
                <w:rFonts w:hint="eastAsia"/>
                <w:sz w:val="22"/>
                <w:szCs w:val="22"/>
              </w:rPr>
              <w:t>符合的国际标准</w:t>
            </w:r>
            <w:r>
              <w:rPr>
                <w:rFonts w:hint="eastAsia"/>
                <w:sz w:val="22"/>
                <w:szCs w:val="22"/>
                <w:lang w:val="en-US" w:eastAsia="zh-CN"/>
              </w:rPr>
              <w:t>:</w:t>
            </w:r>
            <w:r>
              <w:rPr>
                <w:sz w:val="22"/>
                <w:szCs w:val="22"/>
              </w:rPr>
              <w:t>ISO/IEC14443 Type A</w:t>
            </w:r>
          </w:p>
          <w:p>
            <w:pPr>
              <w:ind w:left="0" w:leftChars="0" w:firstLine="0" w:firstLineChars="0"/>
              <w:jc w:val="left"/>
              <w:rPr>
                <w:sz w:val="22"/>
                <w:szCs w:val="22"/>
              </w:rPr>
            </w:pPr>
            <w:r>
              <w:rPr>
                <w:rFonts w:hint="eastAsia"/>
                <w:sz w:val="22"/>
                <w:szCs w:val="22"/>
                <w:lang w:val="en-US" w:eastAsia="zh-CN"/>
              </w:rPr>
              <w:t>9.</w:t>
            </w:r>
            <w:r>
              <w:rPr>
                <w:rFonts w:hint="eastAsia"/>
                <w:sz w:val="22"/>
                <w:szCs w:val="22"/>
              </w:rPr>
              <w:t>通讯速率</w:t>
            </w:r>
            <w:r>
              <w:rPr>
                <w:rFonts w:hint="eastAsia"/>
                <w:sz w:val="22"/>
                <w:szCs w:val="22"/>
                <w:lang w:val="en-US" w:eastAsia="zh-CN"/>
              </w:rPr>
              <w:t>:</w:t>
            </w:r>
            <w:r>
              <w:rPr>
                <w:sz w:val="22"/>
                <w:szCs w:val="22"/>
              </w:rPr>
              <w:t>≥106K bps</w:t>
            </w:r>
          </w:p>
          <w:p>
            <w:pPr>
              <w:ind w:left="0" w:leftChars="0" w:firstLine="0" w:firstLineChars="0"/>
              <w:jc w:val="left"/>
              <w:rPr>
                <w:sz w:val="22"/>
                <w:szCs w:val="22"/>
              </w:rPr>
            </w:pPr>
            <w:r>
              <w:rPr>
                <w:rFonts w:hint="eastAsia"/>
                <w:sz w:val="22"/>
                <w:szCs w:val="22"/>
                <w:lang w:val="en-US" w:eastAsia="zh-CN"/>
              </w:rPr>
              <w:t>10.</w:t>
            </w:r>
            <w:r>
              <w:rPr>
                <w:sz w:val="22"/>
                <w:szCs w:val="22"/>
              </w:rPr>
              <w:t>EEPROM</w:t>
            </w:r>
            <w:r>
              <w:rPr>
                <w:rFonts w:hint="eastAsia"/>
                <w:sz w:val="22"/>
                <w:szCs w:val="22"/>
              </w:rPr>
              <w:t>擦写次数</w:t>
            </w:r>
            <w:r>
              <w:rPr>
                <w:rFonts w:hint="eastAsia"/>
                <w:sz w:val="22"/>
                <w:szCs w:val="22"/>
                <w:lang w:val="en-US" w:eastAsia="zh-CN"/>
              </w:rPr>
              <w:t>:</w:t>
            </w:r>
            <w:r>
              <w:rPr>
                <w:sz w:val="22"/>
                <w:szCs w:val="22"/>
              </w:rPr>
              <w:t>≥10</w:t>
            </w:r>
            <w:r>
              <w:rPr>
                <w:rFonts w:hint="eastAsia"/>
                <w:sz w:val="22"/>
                <w:szCs w:val="22"/>
              </w:rPr>
              <w:t>万次</w:t>
            </w:r>
          </w:p>
          <w:p>
            <w:pPr>
              <w:ind w:left="0" w:leftChars="0" w:firstLine="0" w:firstLineChars="0"/>
              <w:jc w:val="left"/>
              <w:rPr>
                <w:rFonts w:hint="eastAsia"/>
                <w:sz w:val="22"/>
                <w:szCs w:val="22"/>
              </w:rPr>
            </w:pPr>
            <w:r>
              <w:rPr>
                <w:rFonts w:hint="eastAsia"/>
                <w:sz w:val="22"/>
                <w:szCs w:val="22"/>
                <w:lang w:val="en-US" w:eastAsia="zh-CN"/>
              </w:rPr>
              <w:t>11.</w:t>
            </w:r>
            <w:r>
              <w:rPr>
                <w:rFonts w:hint="eastAsia"/>
                <w:sz w:val="22"/>
                <w:szCs w:val="22"/>
              </w:rPr>
              <w:t>数据保存时间</w:t>
            </w:r>
            <w:r>
              <w:rPr>
                <w:rFonts w:hint="eastAsia"/>
                <w:sz w:val="22"/>
                <w:szCs w:val="22"/>
                <w:lang w:val="en-US" w:eastAsia="zh-CN"/>
              </w:rPr>
              <w:t>:</w:t>
            </w:r>
            <w:r>
              <w:rPr>
                <w:rFonts w:hint="eastAsia"/>
                <w:sz w:val="22"/>
                <w:szCs w:val="22"/>
              </w:rPr>
              <w:t>≥10年</w:t>
            </w:r>
          </w:p>
          <w:p>
            <w:pPr>
              <w:ind w:left="0" w:leftChars="0" w:firstLine="0" w:firstLineChars="0"/>
              <w:jc w:val="left"/>
              <w:rPr>
                <w:rFonts w:hint="default" w:eastAsia="黑体"/>
                <w:lang w:val="en-US" w:eastAsia="zh-CN"/>
              </w:rPr>
            </w:pPr>
            <w:r>
              <w:rPr>
                <w:rFonts w:hint="eastAsia"/>
                <w:sz w:val="22"/>
                <w:szCs w:val="22"/>
                <w:lang w:val="en-US" w:eastAsia="zh-CN"/>
              </w:rPr>
              <w:t>12.迷你式公交一卡通制卡成本费单张卡不得超过24元，卡内乘车余额不低于36元；卡片式公交一卡通制卡成本费单张卡不得超过12元，卡内乘车余额不低于18元，卡片式公交一卡通的图案支持采购人定制，不再单独收费。</w:t>
            </w:r>
          </w:p>
        </w:tc>
        <w:tc>
          <w:tcPr>
            <w:tcW w:w="1063" w:type="dxa"/>
            <w:vAlign w:val="top"/>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100</w:t>
            </w:r>
            <w:r>
              <w:rPr>
                <w:rFonts w:hint="eastAsia" w:ascii="Times New Roman" w:hAnsi="Times New Roman" w:eastAsia="仿宋" w:cs="Times New Roman"/>
                <w:b/>
                <w:kern w:val="0"/>
                <w:sz w:val="24"/>
                <w:szCs w:val="24"/>
              </w:rPr>
              <w:t>0</w:t>
            </w:r>
          </w:p>
        </w:tc>
        <w:tc>
          <w:tcPr>
            <w:tcW w:w="1309" w:type="dxa"/>
            <w:vAlign w:val="top"/>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60</w:t>
            </w:r>
          </w:p>
        </w:tc>
        <w:tc>
          <w:tcPr>
            <w:tcW w:w="1283" w:type="dxa"/>
            <w:vMerge w:val="restart"/>
            <w:vAlign w:val="center"/>
          </w:tcPr>
          <w:p>
            <w:pPr>
              <w:jc w:val="center"/>
              <w:rPr>
                <w:rFonts w:hint="default" w:eastAsiaTheme="minorEastAsia"/>
                <w:sz w:val="32"/>
                <w:szCs w:val="32"/>
                <w:lang w:val="en-US" w:eastAsia="zh-CN"/>
              </w:rPr>
            </w:pPr>
            <w:r>
              <w:rPr>
                <w:rFonts w:hint="eastAsia" w:ascii="Times New Roman" w:hAnsi="Times New Roman" w:eastAsia="仿宋" w:cs="Times New Roman"/>
                <w:b/>
                <w:kern w:val="0"/>
                <w:sz w:val="24"/>
                <w:szCs w:val="24"/>
                <w:lang w:val="en-US" w:eastAsia="zh-CN"/>
              </w:rPr>
              <w:t>可支持手机NFC功能及线下网点充值、支持全国400余个城市公交、轻轨等公共交通工具使用</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卡片式公交一卡通</w:t>
            </w:r>
          </w:p>
        </w:tc>
        <w:tc>
          <w:tcPr>
            <w:tcW w:w="4378" w:type="dxa"/>
            <w:vMerge w:val="continue"/>
            <w:tcBorders/>
            <w:vAlign w:val="center"/>
          </w:tcPr>
          <w:p>
            <w:pPr>
              <w:snapToGrid w:val="0"/>
              <w:spacing w:line="360" w:lineRule="auto"/>
              <w:contextualSpacing/>
              <w:jc w:val="left"/>
              <w:rPr>
                <w:rFonts w:hint="default" w:ascii="Times New Roman" w:hAnsi="Times New Roman" w:eastAsia="仿宋" w:cs="Times New Roman"/>
                <w:b/>
                <w:kern w:val="0"/>
                <w:sz w:val="24"/>
                <w:szCs w:val="24"/>
                <w:lang w:val="en-US" w:eastAsia="zh-CN" w:bidi="ar-SA"/>
              </w:rPr>
            </w:pP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1000</w:t>
            </w:r>
          </w:p>
        </w:tc>
        <w:tc>
          <w:tcPr>
            <w:tcW w:w="1309"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30</w:t>
            </w:r>
          </w:p>
        </w:tc>
        <w:tc>
          <w:tcPr>
            <w:tcW w:w="1283" w:type="dxa"/>
            <w:vMerge w:val="continue"/>
            <w:tcBorders/>
            <w:vAlign w:val="top"/>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以实际送货量据实结算。</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val="en-US" w:eastAsia="zh-CN"/>
              </w:rPr>
              <w:t>采购人通知后15个工作日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货款、运输装卸费、税费、保险费、退换货运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每年结算一次</w:t>
            </w:r>
            <w:r>
              <w:rPr>
                <w:rFonts w:hint="eastAsia" w:ascii="方正仿宋_GBK" w:hAnsi="方正仿宋_GBK" w:eastAsia="方正仿宋_GBK" w:cs="方正仿宋_GBK"/>
                <w:sz w:val="24"/>
                <w:szCs w:val="24"/>
              </w:rPr>
              <w:t>，供应商需提供发票、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2.供应商应保证货物到达采购人所在地时完好无损，生产日期应为1年以内的全新产品。如有缺漏、损坏，由供应商负责调换、补齐或赔偿。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u w:val="single"/>
                <w:lang w:val="en-US" w:eastAsia="zh-CN"/>
              </w:rPr>
              <w:t>1</w:t>
            </w:r>
            <w:r>
              <w:rPr>
                <w:rFonts w:hint="eastAsia" w:ascii="方正仿宋_GBK" w:hAnsi="方正仿宋_GBK" w:eastAsia="方正仿宋_GBK" w:cs="方正仿宋_GBK"/>
                <w:b/>
                <w:bCs/>
                <w:sz w:val="24"/>
                <w:szCs w:val="24"/>
                <w:u w:val="single"/>
              </w:rPr>
              <w:t>年的免费质保</w:t>
            </w:r>
            <w:r>
              <w:rPr>
                <w:rFonts w:hint="eastAsia" w:ascii="方正仿宋_GBK" w:hAnsi="方正仿宋_GBK" w:eastAsia="方正仿宋_GBK" w:cs="方正仿宋_GBK"/>
                <w:b/>
                <w:bCs/>
                <w:sz w:val="24"/>
                <w:szCs w:val="24"/>
                <w:u w:val="single"/>
                <w:lang w:eastAsia="zh-CN"/>
              </w:rPr>
              <w:t>，</w:t>
            </w:r>
            <w:r>
              <w:rPr>
                <w:rFonts w:hint="eastAsia" w:ascii="方正仿宋_GBK" w:hAnsi="方正仿宋_GBK" w:eastAsia="方正仿宋_GBK" w:cs="方正仿宋_GBK"/>
                <w:b/>
                <w:bCs/>
                <w:sz w:val="24"/>
                <w:szCs w:val="24"/>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w:t>
                  </w:r>
                </w:p>
              </w:tc>
              <w:tc>
                <w:tcPr>
                  <w:tcW w:w="2051" w:type="dxa"/>
                  <w:vAlign w:val="center"/>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Times New Roman" w:hAnsi="Times New Roman" w:eastAsia="仿宋" w:cs="Times New Roman"/>
                      <w:b/>
                      <w:kern w:val="0"/>
                      <w:sz w:val="21"/>
                      <w:szCs w:val="21"/>
                      <w:lang w:val="en-US" w:eastAsia="zh-CN"/>
                    </w:rPr>
                    <w:t>迷你式公交一卡通</w:t>
                  </w: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restart"/>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2</w:t>
                  </w:r>
                </w:p>
              </w:tc>
              <w:tc>
                <w:tcPr>
                  <w:tcW w:w="2051" w:type="dxa"/>
                  <w:vAlign w:val="center"/>
                </w:tcPr>
                <w:p>
                  <w:pPr>
                    <w:pStyle w:val="8"/>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Times New Roman" w:hAnsi="Times New Roman" w:eastAsia="仿宋" w:cs="Times New Roman"/>
                      <w:b/>
                      <w:kern w:val="0"/>
                      <w:sz w:val="21"/>
                      <w:szCs w:val="21"/>
                      <w:lang w:val="en-US" w:eastAsia="zh-CN" w:bidi="ar-SA"/>
                    </w:rPr>
                    <w:t>卡片式公交一卡通</w:t>
                  </w: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730450"/>
      <w:bookmarkStart w:id="3" w:name="_Toc156815770"/>
      <w:bookmarkStart w:id="4" w:name="_Toc166139912"/>
      <w:bookmarkStart w:id="5" w:name="_Toc128229745"/>
      <w:bookmarkStart w:id="6" w:name="_Toc156196470"/>
      <w:bookmarkStart w:id="7" w:name="_Toc173677397"/>
      <w:bookmarkStart w:id="8" w:name="_Toc128229302"/>
      <w:bookmarkStart w:id="9" w:name="_Toc175017342"/>
      <w:bookmarkStart w:id="10" w:name="_Toc166549448"/>
      <w:bookmarkStart w:id="11" w:name="_Toc128229916"/>
      <w:bookmarkStart w:id="12" w:name="_Toc156196559"/>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56196560"/>
      <w:bookmarkStart w:id="15" w:name="_Toc156815771"/>
      <w:bookmarkStart w:id="16" w:name="_Toc128229746"/>
      <w:bookmarkStart w:id="17" w:name="_Toc173677398"/>
      <w:bookmarkStart w:id="18" w:name="_Toc156196471"/>
      <w:bookmarkStart w:id="19" w:name="_Toc166139913"/>
      <w:bookmarkStart w:id="20" w:name="_Toc175017343"/>
      <w:bookmarkStart w:id="21" w:name="_Toc156730451"/>
      <w:bookmarkStart w:id="22" w:name="_Toc166549449"/>
      <w:bookmarkStart w:id="23" w:name="_Toc128229303"/>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304"/>
      <w:bookmarkStart w:id="25" w:name="_Toc237057793"/>
      <w:bookmarkStart w:id="26" w:name="_Toc173677399"/>
      <w:bookmarkStart w:id="27" w:name="_Toc128014297"/>
      <w:bookmarkStart w:id="28" w:name="_Toc156196472"/>
      <w:bookmarkStart w:id="29" w:name="_Toc128229747"/>
      <w:bookmarkStart w:id="30" w:name="_Toc175017344"/>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C872834"/>
    <w:rsid w:val="0CE64C8D"/>
    <w:rsid w:val="0D5B0206"/>
    <w:rsid w:val="0FD01451"/>
    <w:rsid w:val="122D0B62"/>
    <w:rsid w:val="1922346A"/>
    <w:rsid w:val="1AAE2C67"/>
    <w:rsid w:val="1AF86BE0"/>
    <w:rsid w:val="1BDE0896"/>
    <w:rsid w:val="1CF00EFC"/>
    <w:rsid w:val="21426D4A"/>
    <w:rsid w:val="21637272"/>
    <w:rsid w:val="236757CC"/>
    <w:rsid w:val="279C0153"/>
    <w:rsid w:val="2C3529EE"/>
    <w:rsid w:val="2FC44243"/>
    <w:rsid w:val="31092EA8"/>
    <w:rsid w:val="33FB61AD"/>
    <w:rsid w:val="342C6BC9"/>
    <w:rsid w:val="376E6279"/>
    <w:rsid w:val="38A14340"/>
    <w:rsid w:val="3D8263F7"/>
    <w:rsid w:val="44C5770F"/>
    <w:rsid w:val="44EF71C4"/>
    <w:rsid w:val="482D6FF9"/>
    <w:rsid w:val="496140CE"/>
    <w:rsid w:val="4AE139DB"/>
    <w:rsid w:val="4BDB0A24"/>
    <w:rsid w:val="4C31315D"/>
    <w:rsid w:val="4F6D75ED"/>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0</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2024-06-04T03:26:02Z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