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bookmarkStart w:id="7" w:name="_GoBack"/>
      <w:bookmarkEnd w:id="7"/>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项目名称：冰火板墙板（第二次）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 xml:space="preserve">项目编号：BSRMYY-YNCG-2026-08025 </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4"/>
        <w:tblW w:w="532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522"/>
        <w:gridCol w:w="1649"/>
        <w:gridCol w:w="1388"/>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678"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785"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w:t>
            </w:r>
          </w:p>
        </w:tc>
        <w:tc>
          <w:tcPr>
            <w:tcW w:w="6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17"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56"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678" w:type="pct"/>
            <w:shd w:val="clear" w:color="auto" w:fill="auto"/>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冰火板墙板</w:t>
            </w:r>
          </w:p>
        </w:tc>
        <w:tc>
          <w:tcPr>
            <w:tcW w:w="785" w:type="pct"/>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700</w:t>
            </w:r>
          </w:p>
        </w:tc>
        <w:tc>
          <w:tcPr>
            <w:tcW w:w="661" w:type="pct"/>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平方米</w:t>
            </w:r>
          </w:p>
        </w:tc>
        <w:tc>
          <w:tcPr>
            <w:tcW w:w="1017" w:type="pct"/>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120</w:t>
            </w:r>
          </w:p>
        </w:tc>
        <w:tc>
          <w:tcPr>
            <w:tcW w:w="856" w:type="pc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84000</w:t>
            </w:r>
          </w:p>
        </w:tc>
      </w:tr>
    </w:tbl>
    <w:p w14:paraId="6ACE0191">
      <w:pPr>
        <w:pStyle w:val="26"/>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备注：预估用量不做采购承诺，招采1年单价，合同期间以实际用量据实结算；本项目仅针对国产产品，不予接受进口产品响应。</w:t>
      </w:r>
    </w:p>
    <w:p w14:paraId="3AC97B9E">
      <w:pPr>
        <w:pStyle w:val="26"/>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4"/>
        <w:tblW w:w="90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05"/>
        <w:gridCol w:w="6521"/>
      </w:tblGrid>
      <w:tr w14:paraId="5918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2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E70F">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项目名称</w:t>
            </w:r>
          </w:p>
        </w:tc>
        <w:tc>
          <w:tcPr>
            <w:tcW w:w="6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1A50">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16022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4" w:hRule="atLeast"/>
          <w:jc w:val="center"/>
        </w:trPr>
        <w:tc>
          <w:tcPr>
            <w:tcW w:w="2505" w:type="dxa"/>
            <w:vMerge w:val="restart"/>
            <w:tcBorders>
              <w:top w:val="single" w:color="000000" w:sz="4" w:space="0"/>
              <w:left w:val="single" w:color="000000" w:sz="4" w:space="0"/>
              <w:right w:val="single" w:color="000000" w:sz="4" w:space="0"/>
            </w:tcBorders>
            <w:shd w:val="clear" w:color="auto" w:fill="auto"/>
            <w:vAlign w:val="center"/>
          </w:tcPr>
          <w:p w14:paraId="2E5F7E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default" w:ascii="方正仿宋_GBK" w:hAnsi="方正仿宋_GBK" w:eastAsia="方正仿宋_GBK" w:cs="方正仿宋_GBK"/>
                <w:b/>
                <w:bCs/>
                <w:kern w:val="0"/>
                <w:sz w:val="28"/>
                <w:szCs w:val="28"/>
                <w:highlight w:val="none"/>
                <w:lang w:val="en-US" w:eastAsia="zh-CN"/>
              </w:rPr>
              <w:t>冰火板墙板</w:t>
            </w:r>
          </w:p>
        </w:tc>
        <w:tc>
          <w:tcPr>
            <w:tcW w:w="6521" w:type="dxa"/>
            <w:tcBorders>
              <w:top w:val="single" w:color="000000" w:sz="4" w:space="0"/>
              <w:left w:val="single" w:color="000000" w:sz="4" w:space="0"/>
              <w:right w:val="single" w:color="000000" w:sz="4" w:space="0"/>
            </w:tcBorders>
            <w:shd w:val="clear" w:color="auto" w:fill="auto"/>
            <w:vAlign w:val="center"/>
          </w:tcPr>
          <w:p w14:paraId="550C07C0">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p w14:paraId="37755D38">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1、规格：1.22m*2.4m,厚度6mm</w:t>
            </w:r>
          </w:p>
          <w:p w14:paraId="75600EEA">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2、材质：石棉硅酸钙板+装饰材料</w:t>
            </w:r>
          </w:p>
          <w:p w14:paraId="75765989">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3、环保节能要求：A级防火</w:t>
            </w:r>
          </w:p>
          <w:p w14:paraId="3FD1AFD5">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4、颜色：根据采购人需要定制</w:t>
            </w:r>
          </w:p>
          <w:p w14:paraId="6B55D8D2">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5、配件：包含封边封条、实木踢脚线等</w:t>
            </w:r>
          </w:p>
          <w:p w14:paraId="1221B6AC">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6、提供产品的有效检测报告</w:t>
            </w:r>
          </w:p>
        </w:tc>
      </w:tr>
      <w:tr w14:paraId="7278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505" w:type="dxa"/>
            <w:vMerge w:val="continue"/>
            <w:tcBorders>
              <w:left w:val="single" w:color="000000" w:sz="4" w:space="0"/>
              <w:bottom w:val="single" w:color="000000" w:sz="4" w:space="0"/>
              <w:right w:val="single" w:color="000000" w:sz="4" w:space="0"/>
            </w:tcBorders>
            <w:shd w:val="clear" w:color="auto" w:fill="auto"/>
            <w:vAlign w:val="center"/>
          </w:tcPr>
          <w:p w14:paraId="2199662B">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tc>
        <w:tc>
          <w:tcPr>
            <w:tcW w:w="6521" w:type="dxa"/>
            <w:tcBorders>
              <w:left w:val="single" w:color="000000" w:sz="4" w:space="0"/>
              <w:bottom w:val="single" w:color="000000" w:sz="4" w:space="0"/>
              <w:right w:val="single" w:color="000000" w:sz="4" w:space="0"/>
            </w:tcBorders>
            <w:shd w:val="clear" w:color="auto" w:fill="auto"/>
            <w:vAlign w:val="center"/>
          </w:tcPr>
          <w:p w14:paraId="01865ACE">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5E9510D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具备板材销售及加工资质。</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本项目招采1年单价，包工包料，</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包括但不限于货款、运输装卸、人工费、清洁、质保期维护保养费（含易损件更换）、资料装订及邮寄费、税费、保险费、验收检测费等完成本项目所需的一切费用</w:t>
      </w:r>
      <w:r>
        <w:rPr>
          <w:rFonts w:hint="default"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中选供应商应保持24h电话畅通，接到通知后12h内到现场核对规格尺寸，一般情况接采购人通知后10天完成，特殊情况根据采购人通知安排。</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1B590E9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每次经办科室和使用科室验收合格后据实结算；付款时供应商提供发票、送货单等。如发现供应商提供虚假发票将把供应商列入院内不良记录供应商库，同时采购人有权拒绝支付发票内容的款项，并向有关部门进行举报。</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验收方案</w:t>
      </w:r>
    </w:p>
    <w:p w14:paraId="04731BF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none"/>
          <w:lang w:val="en-US" w:eastAsia="zh-CN"/>
        </w:rPr>
      </w:pPr>
      <w:r>
        <w:rPr>
          <w:rFonts w:hint="default" w:ascii="方正仿宋_GBK" w:hAnsi="方正仿宋_GBK" w:eastAsia="方正仿宋_GBK" w:cs="方正仿宋_GBK"/>
          <w:b w:val="0"/>
          <w:bCs w:val="0"/>
          <w:color w:val="auto"/>
          <w:sz w:val="32"/>
          <w:szCs w:val="32"/>
          <w:highlight w:val="none"/>
          <w:lang w:val="en-US" w:eastAsia="zh-CN"/>
        </w:rPr>
        <w:t>施工工艺应按照建筑行业通用标准执行，采购人可随时对施工各个环节进行抽查，发现问题要求供应立即整改，项目完成后进行最终验收。验收争议时由采购人邀请第三方机构检测，费用由供应商承担，验收后</w:t>
      </w:r>
      <w:r>
        <w:rPr>
          <w:rFonts w:hint="eastAsia" w:ascii="方正仿宋_GBK" w:hAnsi="方正仿宋_GBK" w:eastAsia="方正仿宋_GBK" w:cs="方正仿宋_GBK"/>
          <w:b w:val="0"/>
          <w:bCs w:val="0"/>
          <w:color w:val="auto"/>
          <w:sz w:val="32"/>
          <w:szCs w:val="32"/>
          <w:highlight w:val="none"/>
          <w:lang w:val="en-US" w:eastAsia="zh-CN"/>
        </w:rPr>
        <w:t>及</w:t>
      </w:r>
      <w:r>
        <w:rPr>
          <w:rFonts w:hint="default" w:ascii="方正仿宋_GBK" w:hAnsi="方正仿宋_GBK" w:eastAsia="方正仿宋_GBK" w:cs="方正仿宋_GBK"/>
          <w:b w:val="0"/>
          <w:bCs w:val="0"/>
          <w:color w:val="auto"/>
          <w:sz w:val="32"/>
          <w:szCs w:val="32"/>
          <w:highlight w:val="none"/>
          <w:lang w:val="en-US" w:eastAsia="zh-CN"/>
        </w:rPr>
        <w:t>使用中发现产品质量争议按照验收争议进行处理。</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（六）售后服务</w:t>
      </w:r>
    </w:p>
    <w:p w14:paraId="3312033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（1）质保期为验收合格后2年，质保期内非人为损坏免费更换或维修。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成交供应商在中标后10日内向采购人缴纳履约保证金5000元，合同期满后无息退还。产品质量争议采购方有权要求供应商承担产品司法鉴定费用，拒绝承担的，采购方有权从履约保证金中抵扣。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次承担1000元违约金；供应商产品质量问题，采购人有权要求供应商整改，整改期限为10日，整改期限届满仍未完成的，供应商每日支付合同千分之三的违约金，超过20日未能完成，采购人有权单方面解除合同，并要求供应商承担合同发生额30%的违约金。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合同周期内出现2次及以上违约送货行为；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7032B4E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53794C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具备板材销售及加工资质。</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747"/>
      <w:bookmarkStart w:id="1" w:name="_Toc173677399"/>
      <w:bookmarkStart w:id="2" w:name="_Toc156196472"/>
      <w:bookmarkStart w:id="3" w:name="_Toc128229304"/>
      <w:bookmarkStart w:id="4" w:name="_Toc128014297"/>
      <w:bookmarkStart w:id="5" w:name="_Toc175017344"/>
      <w:bookmarkStart w:id="6" w:name="_Toc237057793"/>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10"/>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4"/>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7"/>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2"/>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4"/>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4"/>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99A1FF64"/>
    <w:multiLevelType w:val="singleLevel"/>
    <w:tmpl w:val="99A1FF64"/>
    <w:lvl w:ilvl="0" w:tentative="0">
      <w:start w:val="5"/>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8"/>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D668A0"/>
    <w:rsid w:val="06FB539B"/>
    <w:rsid w:val="076E4620"/>
    <w:rsid w:val="07F82B6D"/>
    <w:rsid w:val="08BF2007"/>
    <w:rsid w:val="090305CD"/>
    <w:rsid w:val="09046655"/>
    <w:rsid w:val="098E4DDC"/>
    <w:rsid w:val="0A6144FC"/>
    <w:rsid w:val="0B60644F"/>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5D96BE2"/>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402DE"/>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2FD4000C"/>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284806"/>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89119A"/>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DBB5261"/>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E24503"/>
    <w:rsid w:val="55F45FE4"/>
    <w:rsid w:val="5683561C"/>
    <w:rsid w:val="56A84D77"/>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714560"/>
    <w:rsid w:val="7F8D69DE"/>
    <w:rsid w:val="7FA70494"/>
    <w:rsid w:val="7FBC4A80"/>
    <w:rsid w:val="7FE6629E"/>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Body Text Indent 2"/>
    <w:basedOn w:val="1"/>
    <w:qFormat/>
    <w:uiPriority w:val="0"/>
    <w:pPr>
      <w:snapToGrid w:val="0"/>
      <w:spacing w:line="560" w:lineRule="atLeast"/>
      <w:ind w:firstLine="540"/>
    </w:pPr>
  </w:style>
  <w:style w:type="paragraph" w:styleId="9">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10">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5"/>
    <w:next w:val="13"/>
    <w:qFormat/>
    <w:uiPriority w:val="0"/>
    <w:pPr>
      <w:spacing w:line="360" w:lineRule="auto"/>
      <w:ind w:firstLine="420"/>
    </w:pPr>
    <w:rPr>
      <w:rFonts w:ascii="宋体" w:hAnsi="宋体"/>
      <w:sz w:val="24"/>
    </w:rPr>
  </w:style>
  <w:style w:type="paragraph" w:styleId="13">
    <w:name w:val="Body Text First Indent 2"/>
    <w:basedOn w:val="6"/>
    <w:qFormat/>
    <w:uiPriority w:val="0"/>
    <w:pPr>
      <w:spacing w:after="120" w:afterLines="0" w:line="240" w:lineRule="auto"/>
      <w:ind w:left="420" w:leftChars="200"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9">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6"/>
    <w:qFormat/>
    <w:uiPriority w:val="0"/>
    <w:rPr>
      <w:rFonts w:ascii="楷体" w:hAnsi="楷体" w:eastAsia="楷体" w:cs="楷体"/>
      <w:color w:val="000000"/>
      <w:sz w:val="22"/>
      <w:szCs w:val="22"/>
      <w:u w:val="none"/>
      <w:vertAlign w:val="superscript"/>
    </w:rPr>
  </w:style>
  <w:style w:type="character" w:customStyle="1" w:styleId="22">
    <w:name w:val="font21"/>
    <w:basedOn w:val="16"/>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character" w:customStyle="1" w:styleId="28">
    <w:name w:val="font11"/>
    <w:basedOn w:val="16"/>
    <w:qFormat/>
    <w:uiPriority w:val="0"/>
    <w:rPr>
      <w:rFonts w:hint="eastAsia" w:ascii="宋体" w:hAnsi="宋体" w:eastAsia="宋体" w:cs="宋体"/>
      <w:color w:val="000000"/>
      <w:sz w:val="24"/>
      <w:szCs w:val="24"/>
      <w:u w:val="none"/>
    </w:rPr>
  </w:style>
  <w:style w:type="paragraph" w:customStyle="1" w:styleId="29">
    <w:name w:val="Table Text"/>
    <w:basedOn w:val="1"/>
    <w:semiHidden/>
    <w:qFormat/>
    <w:uiPriority w:val="0"/>
    <w:rPr>
      <w:rFonts w:ascii="宋体" w:hAnsi="宋体" w:eastAsia="宋体" w:cs="宋体"/>
      <w:sz w:val="26"/>
      <w:szCs w:val="26"/>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 w:type="character" w:customStyle="1" w:styleId="31">
    <w:name w:val="font61"/>
    <w:basedOn w:val="16"/>
    <w:qFormat/>
    <w:uiPriority w:val="0"/>
    <w:rPr>
      <w:rFonts w:hint="eastAsia" w:ascii="宋体" w:hAnsi="宋体" w:eastAsia="宋体" w:cs="宋体"/>
      <w:color w:val="000000"/>
      <w:sz w:val="20"/>
      <w:szCs w:val="20"/>
      <w:u w:val="none"/>
    </w:rPr>
  </w:style>
  <w:style w:type="character" w:customStyle="1" w:styleId="32">
    <w:name w:val="font51"/>
    <w:basedOn w:val="16"/>
    <w:qFormat/>
    <w:uiPriority w:val="0"/>
    <w:rPr>
      <w:rFonts w:hint="eastAsia" w:ascii="宋体" w:hAnsi="宋体" w:eastAsia="宋体" w:cs="宋体"/>
      <w:color w:val="000000"/>
      <w:sz w:val="20"/>
      <w:szCs w:val="20"/>
      <w:u w:val="none"/>
    </w:rPr>
  </w:style>
  <w:style w:type="character" w:customStyle="1" w:styleId="33">
    <w:name w:val="font71"/>
    <w:basedOn w:val="16"/>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6796</Words>
  <Characters>6987</Characters>
  <Lines>0</Lines>
  <Paragraphs>0</Paragraphs>
  <TotalTime>2</TotalTime>
  <ScaleCrop>false</ScaleCrop>
  <LinksUpToDate>false</LinksUpToDate>
  <CharactersWithSpaces>7649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2026-09-07T07:15:21Z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7E74E02F816A4CB392A59ED5691B93E3_13</vt:lpwstr>
  </property>
  <property fmtid="{D5CDD505-2E9C-101B-9397-08002B2CF9AE}" pid="4" name="KSOTemplateDocerSaveRecord">
    <vt:lpwstr>eyJoZGlkIjoiNzdkNTM4MTkwYTE0Yjk0Y2Y4MjVlZDcwOGViZTQwYjIiLCJ1c2VySWQiOiIxMTc2NDE1MTk0In0=</vt:lpwstr>
  </property>
</Properties>
</file>