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21CE5">
      <w:pPr>
        <w:rPr>
          <w:rFonts w:hint="eastAsia"/>
          <w:highlight w:val="none"/>
          <w:lang w:val="en-US" w:eastAsia="zh-CN"/>
        </w:rPr>
      </w:pPr>
    </w:p>
    <w:p w14:paraId="7299FEE2">
      <w:pPr>
        <w:rPr>
          <w:rFonts w:hint="eastAsia"/>
          <w:highlight w:val="none"/>
          <w:lang w:val="en-US" w:eastAsia="zh-CN"/>
        </w:rPr>
      </w:pPr>
    </w:p>
    <w:p w14:paraId="0F0B8A22">
      <w:pPr>
        <w:jc w:val="center"/>
        <w:rPr>
          <w:rFonts w:hint="eastAsia"/>
          <w:b/>
          <w:bCs/>
          <w:sz w:val="84"/>
          <w:szCs w:val="84"/>
          <w:highlight w:val="none"/>
          <w:lang w:val="en-US" w:eastAsia="zh-CN"/>
        </w:rPr>
      </w:pPr>
    </w:p>
    <w:p w14:paraId="384E57EC">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2789D754">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250C51B0">
      <w:pPr>
        <w:jc w:val="center"/>
        <w:rPr>
          <w:rFonts w:hint="eastAsia"/>
          <w:b/>
          <w:bCs/>
          <w:sz w:val="44"/>
          <w:szCs w:val="44"/>
          <w:highlight w:val="none"/>
          <w:lang w:val="en-US" w:eastAsia="zh-CN"/>
        </w:rPr>
      </w:pPr>
    </w:p>
    <w:p w14:paraId="091BEF1E">
      <w:pPr>
        <w:rPr>
          <w:rFonts w:hint="eastAsia"/>
          <w:sz w:val="32"/>
          <w:szCs w:val="32"/>
          <w:highlight w:val="none"/>
          <w:lang w:val="en-US" w:eastAsia="zh-CN"/>
        </w:rPr>
      </w:pPr>
    </w:p>
    <w:p w14:paraId="1FC49DEE">
      <w:pPr>
        <w:rPr>
          <w:rFonts w:hint="eastAsia"/>
          <w:sz w:val="32"/>
          <w:szCs w:val="32"/>
          <w:highlight w:val="none"/>
          <w:lang w:val="en-US" w:eastAsia="zh-CN"/>
        </w:rPr>
      </w:pPr>
    </w:p>
    <w:p w14:paraId="1CEC3BC1">
      <w:pPr>
        <w:rPr>
          <w:rFonts w:hint="eastAsia"/>
          <w:sz w:val="32"/>
          <w:szCs w:val="32"/>
          <w:highlight w:val="none"/>
          <w:lang w:val="en-US" w:eastAsia="zh-CN"/>
        </w:rPr>
      </w:pPr>
    </w:p>
    <w:p w14:paraId="4459A889">
      <w:pPr>
        <w:rPr>
          <w:rFonts w:hint="eastAsia"/>
          <w:sz w:val="32"/>
          <w:szCs w:val="32"/>
          <w:highlight w:val="none"/>
          <w:lang w:val="en-US" w:eastAsia="zh-CN"/>
        </w:rPr>
      </w:pPr>
    </w:p>
    <w:p w14:paraId="1B5EA4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项目名称：冷链管理系统（第二次）</w:t>
      </w:r>
      <w:bookmarkStart w:id="7" w:name="_GoBack"/>
      <w:bookmarkEnd w:id="7"/>
    </w:p>
    <w:p w14:paraId="0E9263C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项目编号：BSRMYY-YNCG-2026-06003</w:t>
      </w:r>
    </w:p>
    <w:p w14:paraId="59E987F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397F085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5DE0E1F2">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6E5E5944">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4F7EC6C3">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735DF09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6B91633C">
      <w:pPr>
        <w:rPr>
          <w:rFonts w:hint="default"/>
          <w:sz w:val="44"/>
          <w:szCs w:val="44"/>
          <w:highlight w:val="none"/>
          <w:lang w:val="en-US" w:eastAsia="zh-CN"/>
        </w:rPr>
      </w:pPr>
      <w:r>
        <w:rPr>
          <w:rFonts w:hint="eastAsia"/>
          <w:sz w:val="44"/>
          <w:szCs w:val="44"/>
          <w:highlight w:val="none"/>
          <w:lang w:val="en-US" w:eastAsia="zh-CN"/>
        </w:rPr>
        <w:br w:type="page"/>
      </w:r>
    </w:p>
    <w:p w14:paraId="22F28EBD">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 xml:space="preserve">采购需求介绍 </w:t>
      </w:r>
    </w:p>
    <w:p w14:paraId="695781C6">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 xml:space="preserve">一、采购项目介绍   </w:t>
      </w:r>
    </w:p>
    <w:tbl>
      <w:tblPr>
        <w:tblStyle w:val="13"/>
        <w:tblW w:w="5015"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725"/>
        <w:gridCol w:w="1627"/>
        <w:gridCol w:w="1244"/>
        <w:gridCol w:w="2109"/>
        <w:gridCol w:w="2180"/>
      </w:tblGrid>
      <w:tr w14:paraId="7CEBEC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1378" w:type="pct"/>
            <w:vAlign w:val="center"/>
          </w:tcPr>
          <w:p w14:paraId="758E995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822" w:type="pct"/>
            <w:vAlign w:val="center"/>
          </w:tcPr>
          <w:p w14:paraId="53FC8AD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629" w:type="pct"/>
            <w:vAlign w:val="center"/>
          </w:tcPr>
          <w:p w14:paraId="67042189">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066" w:type="pct"/>
            <w:vAlign w:val="center"/>
          </w:tcPr>
          <w:p w14:paraId="46F6C30B">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1102" w:type="pct"/>
            <w:vAlign w:val="center"/>
          </w:tcPr>
          <w:p w14:paraId="146DC8C6">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合计（元）</w:t>
            </w:r>
          </w:p>
        </w:tc>
      </w:tr>
      <w:tr w14:paraId="03C12F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5" w:hRule="atLeast"/>
          <w:jc w:val="center"/>
        </w:trPr>
        <w:tc>
          <w:tcPr>
            <w:tcW w:w="1378" w:type="pct"/>
            <w:vAlign w:val="center"/>
          </w:tcPr>
          <w:p w14:paraId="266F8A29">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冷链监测一体机</w:t>
            </w:r>
          </w:p>
        </w:tc>
        <w:tc>
          <w:tcPr>
            <w:tcW w:w="822" w:type="pct"/>
            <w:vAlign w:val="center"/>
          </w:tcPr>
          <w:p w14:paraId="4912426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w:t>
            </w:r>
          </w:p>
        </w:tc>
        <w:tc>
          <w:tcPr>
            <w:tcW w:w="629" w:type="pct"/>
            <w:vAlign w:val="center"/>
          </w:tcPr>
          <w:p w14:paraId="33EA6CBC">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台</w:t>
            </w:r>
          </w:p>
        </w:tc>
        <w:tc>
          <w:tcPr>
            <w:tcW w:w="1066" w:type="pct"/>
            <w:vAlign w:val="center"/>
          </w:tcPr>
          <w:p w14:paraId="78D68482">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2500</w:t>
            </w:r>
          </w:p>
        </w:tc>
        <w:tc>
          <w:tcPr>
            <w:tcW w:w="1102" w:type="pct"/>
            <w:vMerge w:val="restart"/>
            <w:vAlign w:val="center"/>
          </w:tcPr>
          <w:p w14:paraId="163F8B53">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26200</w:t>
            </w:r>
          </w:p>
        </w:tc>
      </w:tr>
      <w:tr w14:paraId="1A130C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45" w:hRule="atLeast"/>
          <w:jc w:val="center"/>
        </w:trPr>
        <w:tc>
          <w:tcPr>
            <w:tcW w:w="1378" w:type="pct"/>
            <w:vAlign w:val="center"/>
          </w:tcPr>
          <w:p w14:paraId="042F51F5">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无线温湿度探头</w:t>
            </w:r>
          </w:p>
        </w:tc>
        <w:tc>
          <w:tcPr>
            <w:tcW w:w="822" w:type="pct"/>
            <w:vAlign w:val="center"/>
          </w:tcPr>
          <w:p w14:paraId="68635E3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16</w:t>
            </w:r>
          </w:p>
        </w:tc>
        <w:tc>
          <w:tcPr>
            <w:tcW w:w="629" w:type="pct"/>
            <w:vAlign w:val="center"/>
          </w:tcPr>
          <w:p w14:paraId="53B3EA6C">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个</w:t>
            </w:r>
          </w:p>
        </w:tc>
        <w:tc>
          <w:tcPr>
            <w:tcW w:w="1066" w:type="pct"/>
            <w:vAlign w:val="center"/>
          </w:tcPr>
          <w:p w14:paraId="2BA234F8">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500</w:t>
            </w:r>
          </w:p>
        </w:tc>
        <w:tc>
          <w:tcPr>
            <w:tcW w:w="1102" w:type="pct"/>
            <w:vMerge w:val="continue"/>
            <w:vAlign w:val="center"/>
          </w:tcPr>
          <w:p w14:paraId="4540A032">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p>
        </w:tc>
      </w:tr>
      <w:tr w14:paraId="4FF3A8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5" w:hRule="atLeast"/>
          <w:jc w:val="center"/>
        </w:trPr>
        <w:tc>
          <w:tcPr>
            <w:tcW w:w="1378" w:type="pct"/>
            <w:vAlign w:val="center"/>
          </w:tcPr>
          <w:p w14:paraId="5AEAD02B">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无线深低温探头</w:t>
            </w:r>
          </w:p>
        </w:tc>
        <w:tc>
          <w:tcPr>
            <w:tcW w:w="822" w:type="pct"/>
            <w:vAlign w:val="center"/>
          </w:tcPr>
          <w:p w14:paraId="750A589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w:t>
            </w:r>
          </w:p>
        </w:tc>
        <w:tc>
          <w:tcPr>
            <w:tcW w:w="629" w:type="pct"/>
            <w:vAlign w:val="center"/>
          </w:tcPr>
          <w:p w14:paraId="35C0109C">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个</w:t>
            </w:r>
          </w:p>
        </w:tc>
        <w:tc>
          <w:tcPr>
            <w:tcW w:w="1066" w:type="pct"/>
            <w:vAlign w:val="center"/>
          </w:tcPr>
          <w:p w14:paraId="4C961547">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850</w:t>
            </w:r>
          </w:p>
        </w:tc>
        <w:tc>
          <w:tcPr>
            <w:tcW w:w="1102" w:type="pct"/>
            <w:vMerge w:val="continue"/>
            <w:vAlign w:val="center"/>
          </w:tcPr>
          <w:p w14:paraId="2D79E4FA">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p>
        </w:tc>
      </w:tr>
      <w:tr w14:paraId="22EC4B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5" w:hRule="atLeast"/>
          <w:jc w:val="center"/>
        </w:trPr>
        <w:tc>
          <w:tcPr>
            <w:tcW w:w="1378" w:type="pct"/>
            <w:tcBorders>
              <w:bottom w:val="single" w:color="auto" w:sz="4" w:space="0"/>
            </w:tcBorders>
            <w:vAlign w:val="center"/>
          </w:tcPr>
          <w:p w14:paraId="46EA9641">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冷链管理系统平台</w:t>
            </w:r>
          </w:p>
        </w:tc>
        <w:tc>
          <w:tcPr>
            <w:tcW w:w="822" w:type="pct"/>
            <w:tcBorders>
              <w:bottom w:val="single" w:color="auto" w:sz="4" w:space="0"/>
            </w:tcBorders>
            <w:vAlign w:val="center"/>
          </w:tcPr>
          <w:p w14:paraId="04214B1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629" w:type="pct"/>
            <w:tcBorders>
              <w:bottom w:val="single" w:color="auto" w:sz="4" w:space="0"/>
            </w:tcBorders>
            <w:vAlign w:val="center"/>
          </w:tcPr>
          <w:p w14:paraId="6DD2DB0E">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套</w:t>
            </w:r>
          </w:p>
        </w:tc>
        <w:tc>
          <w:tcPr>
            <w:tcW w:w="1066" w:type="pct"/>
            <w:tcBorders>
              <w:bottom w:val="single" w:color="auto" w:sz="4" w:space="0"/>
            </w:tcBorders>
            <w:vAlign w:val="center"/>
          </w:tcPr>
          <w:p w14:paraId="534496D7">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4800</w:t>
            </w:r>
          </w:p>
        </w:tc>
        <w:tc>
          <w:tcPr>
            <w:tcW w:w="1102" w:type="pct"/>
            <w:vMerge w:val="continue"/>
            <w:vAlign w:val="center"/>
          </w:tcPr>
          <w:p w14:paraId="29BA817D">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p>
        </w:tc>
      </w:tr>
    </w:tbl>
    <w:p w14:paraId="5CC26C5D">
      <w:pPr>
        <w:pStyle w:val="25"/>
        <w:numPr>
          <w:ilvl w:val="0"/>
          <w:numId w:val="3"/>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w:t>
      </w:r>
    </w:p>
    <w:tbl>
      <w:tblPr>
        <w:tblStyle w:val="13"/>
        <w:tblW w:w="521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188"/>
        <w:gridCol w:w="1350"/>
        <w:gridCol w:w="6730"/>
      </w:tblGrid>
      <w:tr w14:paraId="6BC2B7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1065" w:type="pct"/>
            <w:vAlign w:val="center"/>
          </w:tcPr>
          <w:p w14:paraId="55256B7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3934" w:type="pct"/>
            <w:gridSpan w:val="2"/>
            <w:vAlign w:val="center"/>
          </w:tcPr>
          <w:p w14:paraId="0FF73DD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参数要求</w:t>
            </w:r>
          </w:p>
        </w:tc>
      </w:tr>
      <w:tr w14:paraId="78BC2F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45" w:hRule="atLeast"/>
          <w:jc w:val="center"/>
        </w:trPr>
        <w:tc>
          <w:tcPr>
            <w:tcW w:w="1065" w:type="pct"/>
            <w:vAlign w:val="center"/>
          </w:tcPr>
          <w:p w14:paraId="1912B74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冷链监测一体机</w:t>
            </w:r>
          </w:p>
        </w:tc>
        <w:tc>
          <w:tcPr>
            <w:tcW w:w="657" w:type="pct"/>
            <w:vAlign w:val="center"/>
          </w:tcPr>
          <w:p w14:paraId="6B9EC2E2">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数据传输的中继器</w:t>
            </w:r>
          </w:p>
        </w:tc>
        <w:tc>
          <w:tcPr>
            <w:tcW w:w="3277" w:type="pct"/>
            <w:vMerge w:val="restart"/>
            <w:vAlign w:val="center"/>
          </w:tcPr>
          <w:p w14:paraId="6A4469A9">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1、硬件参数的详细需求</w:t>
            </w:r>
          </w:p>
          <w:p w14:paraId="2CD0D8DA">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(1)无线温湿度探头</w:t>
            </w:r>
          </w:p>
          <w:p w14:paraId="310047EE">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①　基于2.4G的RFID技术，温度传感器与数据传输密封一体，可布署在不同区域，温度测量范围满足：-35～75℃，温度测量精度：±0.5℃；</w:t>
            </w:r>
          </w:p>
          <w:p w14:paraId="2AF80DDE">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②　采用高容量电池，无需外接电源供电，电池使用寿命达1年以上时间；</w:t>
            </w:r>
          </w:p>
          <w:p w14:paraId="69560C8A">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③　产品的防护等级（防尘、防水）≥IP68；</w:t>
            </w:r>
          </w:p>
          <w:p w14:paraId="5316DC61">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p>
          <w:p w14:paraId="52CB3F11">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(2)冷链监测一体机</w:t>
            </w:r>
          </w:p>
          <w:p w14:paraId="6F0C8F10">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①　用于接收无线测温标签发射的温度数据，并通过内置的无线通讯模块上传数据至云平台，内置中国移动SIM卡；</w:t>
            </w:r>
          </w:p>
          <w:p w14:paraId="3DD4E9C8">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②　上传间隔：1分钟~24小时可设置；</w:t>
            </w:r>
          </w:p>
          <w:p w14:paraId="5CEF59F8">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③　必须采用4G的无线通讯模块；</w:t>
            </w:r>
          </w:p>
          <w:p w14:paraId="58F60FEB">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④　★当超温时，主机屏幕的字体可以通过红色字体显示，便于提醒现场操作人员（需提供产品图片证明）；</w:t>
            </w:r>
          </w:p>
          <w:p w14:paraId="20D25E34">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⑤　支持本地声光报警系统：灯光指示、蜂鸣器报警；</w:t>
            </w:r>
          </w:p>
          <w:p w14:paraId="3029C749">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⑥　★为方便管理，冷链监测主机硬件设备数据需要与我院现使用的冷链管理平台对接，对接费用需供应商自行承担（提供承诺函）</w:t>
            </w:r>
          </w:p>
          <w:p w14:paraId="44262BD9">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p>
          <w:p w14:paraId="3B6C87BF">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(3)无线深低温探头</w:t>
            </w:r>
          </w:p>
          <w:p w14:paraId="15CD6120">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①　 具有低耗电量的特征，支持自行更换电池，电池电量使用时间≥6个月；</w:t>
            </w:r>
          </w:p>
          <w:p w14:paraId="4B6C376E">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②　 温度测量范围≥-199℃~50℃温度测量精度≤±1℃；</w:t>
            </w:r>
          </w:p>
          <w:p w14:paraId="510741A4">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③　数据采集频率为30s~5分钟可调；</w:t>
            </w:r>
          </w:p>
          <w:p w14:paraId="639B3C92">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④　空旷范围内数据传输距离≥150米。</w:t>
            </w:r>
          </w:p>
          <w:p w14:paraId="06EB60AA">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2、冷链信息化管理系统</w:t>
            </w:r>
          </w:p>
          <w:p w14:paraId="496D6417">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(1)实时显示：全程实时监控温湿度数据的同时，数据传输到管理平台并存为历史记录；</w:t>
            </w:r>
          </w:p>
          <w:p w14:paraId="37CF0CDB">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(2) 限值报警：可设置温湿度上下限报警值，并根据设定的值进行报警；如冷链温度升级报警可电话语音报警；可设置多级报警，在一定时间内没有及时处理的报警信息可自动升级并通知相关负责人，升级报警时间可设、报警级别至少支持3个级别；</w:t>
            </w:r>
          </w:p>
          <w:p w14:paraId="0E3CA33C">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(3)报警管理：需支持报警事件处理和报警备案功能和管理人员登录及操作日志查询功能；实时显示产生的报警信息，可对报警信息进行处理（处理内容包括：报警原因、处理措施、处理时间以及处理人员等信息）；</w:t>
            </w:r>
          </w:p>
          <w:p w14:paraId="0D4B7D7D">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(4)管理权限：系统具有管理权限功能，普通人员只能对数据进行查看，高级管理员可以进行其他的相关设置操作。通过向科室和分管人员分配权限，各级用户可以通过该平台查阅对应权限所有的冷链设备参数，设置各项报警功能，远程查看设备当前温度数据，管理报警记录，生成温湿度监测记录清单和图表；</w:t>
            </w:r>
          </w:p>
          <w:p w14:paraId="4251A82D">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(5)远程手机微信端浏览：支持将实时数据传输到管理平台，平台数据与监测一体机数据同步，可通过手机移动端等的微信进行管理；</w:t>
            </w:r>
          </w:p>
          <w:p w14:paraId="49C6AAA5">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(6)★冷链装备评估报表：分析冰箱制冷系统运行的稳定性和制冷效果；建立数据方差模型，通过数据模型分析冰箱的压缩机性能，同时判定冰箱的制冷效果（投标方需提供数学模型的算法方案证明材料）</w:t>
            </w:r>
          </w:p>
          <w:p w14:paraId="775AA04B">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(7)★单位冷链绩效评估报表：建立多维度的单位冷链管理评估值模型，该模型通过冷链设备总数、报警总数、人为报警次数、未处理次数以及登陆系统次数等5个维度建立数学模型，并综合评估各级单位的冷链绩效（投标方需提供数学模型的算法方案证明材料）</w:t>
            </w:r>
          </w:p>
          <w:p w14:paraId="4945186F">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(8)监控管理平台支持手写电子签名功能，该功能可满足“冷链装备温度记录表”的人工测温合规要求；</w:t>
            </w:r>
          </w:p>
          <w:p w14:paraId="3589328D">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(9)报警方式包括冷链监测平台、手机短信、微信报警和电话报警，且电话报警需支持语音告知报警内容，报警内容包括超温警报、设备断电警报、设备离线报警等；</w:t>
            </w:r>
          </w:p>
          <w:p w14:paraId="2EEC1DA3">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(10)★为方便管理，冷链监测主机硬件设备数据需要与我院现使用的冷链管理平台对接，对接费用需供应商自行承担（提供承诺函）</w:t>
            </w:r>
          </w:p>
        </w:tc>
      </w:tr>
      <w:tr w14:paraId="2B85A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00" w:hRule="atLeast"/>
          <w:jc w:val="center"/>
        </w:trPr>
        <w:tc>
          <w:tcPr>
            <w:tcW w:w="1065" w:type="pct"/>
            <w:vAlign w:val="center"/>
          </w:tcPr>
          <w:p w14:paraId="57C0F5D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无线温湿度探头</w:t>
            </w:r>
          </w:p>
        </w:tc>
        <w:tc>
          <w:tcPr>
            <w:tcW w:w="657" w:type="pct"/>
            <w:vAlign w:val="center"/>
          </w:tcPr>
          <w:p w14:paraId="15F46BB5">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用于采集-30℃~10℃范围内的温度传感器</w:t>
            </w:r>
          </w:p>
        </w:tc>
        <w:tc>
          <w:tcPr>
            <w:tcW w:w="3277" w:type="pct"/>
            <w:vMerge w:val="continue"/>
            <w:vAlign w:val="center"/>
          </w:tcPr>
          <w:p w14:paraId="367B0741">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p>
        </w:tc>
      </w:tr>
      <w:tr w14:paraId="61C231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90" w:hRule="atLeast"/>
          <w:jc w:val="center"/>
        </w:trPr>
        <w:tc>
          <w:tcPr>
            <w:tcW w:w="1065" w:type="pct"/>
            <w:vAlign w:val="center"/>
          </w:tcPr>
          <w:p w14:paraId="775F955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无线深低温探头</w:t>
            </w:r>
          </w:p>
        </w:tc>
        <w:tc>
          <w:tcPr>
            <w:tcW w:w="657" w:type="pct"/>
            <w:vAlign w:val="center"/>
          </w:tcPr>
          <w:p w14:paraId="3C1F5E40">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用于采集-199℃~-35℃范围内的温度传感器</w:t>
            </w:r>
          </w:p>
        </w:tc>
        <w:tc>
          <w:tcPr>
            <w:tcW w:w="3277" w:type="pct"/>
            <w:vMerge w:val="continue"/>
            <w:vAlign w:val="center"/>
          </w:tcPr>
          <w:p w14:paraId="5D8CB82C">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p>
        </w:tc>
      </w:tr>
      <w:tr w14:paraId="6BD4A3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5" w:hRule="atLeast"/>
          <w:jc w:val="center"/>
        </w:trPr>
        <w:tc>
          <w:tcPr>
            <w:tcW w:w="1065" w:type="pct"/>
            <w:tcBorders>
              <w:bottom w:val="single" w:color="auto" w:sz="4" w:space="0"/>
            </w:tcBorders>
            <w:vAlign w:val="center"/>
          </w:tcPr>
          <w:p w14:paraId="698540A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冷链管理系统平台</w:t>
            </w:r>
          </w:p>
        </w:tc>
        <w:tc>
          <w:tcPr>
            <w:tcW w:w="657" w:type="pct"/>
            <w:tcBorders>
              <w:bottom w:val="single" w:color="auto" w:sz="4" w:space="0"/>
            </w:tcBorders>
            <w:vAlign w:val="center"/>
          </w:tcPr>
          <w:p w14:paraId="0D000E5A">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冷链数据管理中心</w:t>
            </w:r>
          </w:p>
        </w:tc>
        <w:tc>
          <w:tcPr>
            <w:tcW w:w="3277" w:type="pct"/>
            <w:vMerge w:val="continue"/>
            <w:tcBorders>
              <w:bottom w:val="single" w:color="auto" w:sz="4" w:space="0"/>
            </w:tcBorders>
            <w:vAlign w:val="center"/>
          </w:tcPr>
          <w:p w14:paraId="6AC5E3B7">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auto"/>
              <w:rPr>
                <w:rFonts w:hint="eastAsia" w:ascii="方正仿宋_GBK" w:hAnsi="方正仿宋_GBK" w:eastAsia="方正仿宋_GBK" w:cs="方正仿宋_GBK"/>
                <w:b/>
                <w:bCs/>
                <w:kern w:val="0"/>
                <w:sz w:val="24"/>
                <w:szCs w:val="24"/>
                <w:highlight w:val="none"/>
                <w:lang w:val="en-US" w:eastAsia="zh-CN"/>
              </w:rPr>
            </w:pPr>
          </w:p>
        </w:tc>
      </w:tr>
    </w:tbl>
    <w:p w14:paraId="6572E37D">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532DD09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（一）供应商资格条件</w:t>
      </w:r>
    </w:p>
    <w:p w14:paraId="6A252C3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5C48356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2A9C095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CCA15E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6C4BE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25C343B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14A541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53278B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特定资格条件：</w:t>
      </w:r>
    </w:p>
    <w:p w14:paraId="7A6E0EF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2D76481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（二）项目最高限价</w:t>
      </w:r>
    </w:p>
    <w:p w14:paraId="4C88537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本项目最高限价26200元</w:t>
      </w:r>
      <w:r>
        <w:rPr>
          <w:rFonts w:hint="eastAsia" w:ascii="方正仿宋_GBK" w:hAnsi="方正仿宋_GBK" w:eastAsia="方正仿宋_GBK" w:cs="方正仿宋_GBK"/>
          <w:b w:val="0"/>
          <w:color w:val="auto"/>
          <w:kern w:val="0"/>
          <w:sz w:val="32"/>
          <w:szCs w:val="32"/>
          <w:highlight w:val="none"/>
          <w:lang w:val="en-US" w:eastAsia="zh-CN" w:bidi="ar-SA"/>
        </w:rPr>
        <w:t>，</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w:t>
      </w:r>
      <w:r>
        <w:rPr>
          <w:rFonts w:hint="default" w:ascii="方正仿宋_GBK" w:hAnsi="方正仿宋_GBK" w:eastAsia="方正仿宋_GBK" w:cs="方正仿宋_GBK"/>
          <w:color w:val="auto"/>
          <w:kern w:val="0"/>
          <w:sz w:val="32"/>
          <w:szCs w:val="32"/>
          <w:highlight w:val="none"/>
          <w:lang w:val="en-US" w:eastAsia="zh-CN"/>
        </w:rPr>
        <w:t>但不限于</w:t>
      </w:r>
      <w:r>
        <w:rPr>
          <w:rFonts w:hint="eastAsia" w:ascii="方正仿宋_GBK" w:hAnsi="方正仿宋_GBK" w:eastAsia="方正仿宋_GBK" w:cs="方正仿宋_GBK"/>
          <w:color w:val="auto"/>
          <w:kern w:val="0"/>
          <w:sz w:val="32"/>
          <w:szCs w:val="32"/>
          <w:highlight w:val="none"/>
          <w:lang w:val="en-US" w:eastAsia="zh-CN"/>
        </w:rPr>
        <w:t>货款、运输装卸、质保期维护保养费（含易损件更换）、资料装订及邮寄费、税费、保险费、验收检测费、信息系统对接接口费、培训费</w:t>
      </w:r>
      <w:r>
        <w:rPr>
          <w:rFonts w:hint="default" w:ascii="方正仿宋_GBK" w:hAnsi="方正仿宋_GBK" w:eastAsia="方正仿宋_GBK" w:cs="方正仿宋_GBK"/>
          <w:color w:val="auto"/>
          <w:kern w:val="0"/>
          <w:sz w:val="32"/>
          <w:szCs w:val="32"/>
          <w:highlight w:val="none"/>
          <w:lang w:val="en-US" w:eastAsia="zh-CN"/>
        </w:rPr>
        <w:t>等完成本项目所需的一切费用。</w:t>
      </w:r>
      <w:r>
        <w:rPr>
          <w:rFonts w:hint="eastAsia" w:ascii="方正仿宋_GBK" w:hAnsi="方正仿宋_GBK" w:eastAsia="方正仿宋_GBK" w:cs="方正仿宋_GBK"/>
          <w:b w:val="0"/>
          <w:color w:val="auto"/>
          <w:kern w:val="0"/>
          <w:sz w:val="32"/>
          <w:szCs w:val="32"/>
          <w:highlight w:val="none"/>
          <w:lang w:val="en-US" w:eastAsia="zh-CN" w:bidi="ar-SA"/>
        </w:rPr>
        <w:t>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7792516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（三）合同及交付期限</w:t>
      </w:r>
    </w:p>
    <w:p w14:paraId="27AACEF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4A53EE6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本项目要求中选供应商一般情况在接到采购人通知后7天完成送货及安装调试，特殊情况15天完成。</w:t>
      </w:r>
    </w:p>
    <w:p w14:paraId="3AF0F2D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（四）付款方式</w:t>
      </w:r>
    </w:p>
    <w:p w14:paraId="2030BB6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验收合格后据实结算；付款时供应商提供发票、验收单、送货单等。如发现供应商提供虚假发票将把供应商列入院内不良记录供应商库，同时采购人有权拒绝支付发票内容的款项，并向有关部门进行举报。</w:t>
      </w:r>
    </w:p>
    <w:p w14:paraId="52CB05C5">
      <w:pPr>
        <w:keepNext w:val="0"/>
        <w:keepLines w:val="0"/>
        <w:pageBreakBefore w:val="0"/>
        <w:widowControl w:val="0"/>
        <w:kinsoku/>
        <w:wordWrap/>
        <w:overflowPunct/>
        <w:topLinePunct w:val="0"/>
        <w:autoSpaceDE/>
        <w:autoSpaceDN/>
        <w:bidi w:val="0"/>
        <w:adjustRightInd/>
        <w:snapToGrid w:val="0"/>
        <w:spacing w:line="500" w:lineRule="exact"/>
        <w:ind w:left="638" w:leftChars="304" w:firstLine="0" w:firstLineChars="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（五）验收方案</w:t>
      </w:r>
    </w:p>
    <w:p w14:paraId="082DCB5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到货后确认产品规格、配置等符合招标文件要求作为初步验收，</w:t>
      </w:r>
    </w:p>
    <w:p w14:paraId="0742CA73">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初步验收无异常由供应商进行安装调试，安装调试并试运行1个月无异常才作为最终验收。验收及使用中发现产品质量争议按照验收争议进行处理；验收争议时由采购人邀请第三方机构检测，费用由供应商承担。</w:t>
      </w:r>
    </w:p>
    <w:p w14:paraId="1714D7DE">
      <w:pPr>
        <w:keepNext w:val="0"/>
        <w:keepLines w:val="0"/>
        <w:pageBreakBefore w:val="0"/>
        <w:widowControl w:val="0"/>
        <w:numPr>
          <w:ilvl w:val="0"/>
          <w:numId w:val="4"/>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售后服务</w:t>
      </w:r>
    </w:p>
    <w:p w14:paraId="129732C6">
      <w:pPr>
        <w:keepNext w:val="0"/>
        <w:keepLines w:val="0"/>
        <w:pageBreakBefore w:val="0"/>
        <w:widowControl w:val="0"/>
        <w:numPr>
          <w:ilvl w:val="0"/>
          <w:numId w:val="5"/>
        </w:numPr>
        <w:kinsoku/>
        <w:wordWrap/>
        <w:overflowPunct/>
        <w:topLinePunct w:val="0"/>
        <w:autoSpaceDE/>
        <w:autoSpaceDN/>
        <w:bidi w:val="0"/>
        <w:adjustRightInd/>
        <w:snapToGrid w:val="0"/>
        <w:spacing w:line="500" w:lineRule="exact"/>
        <w:ind w:left="638" w:leftChars="304" w:firstLine="0" w:firstLineChars="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生产日期要求：送货产品应为生产日期一年内的全新产品。</w:t>
      </w:r>
      <w:r>
        <w:rPr>
          <w:rFonts w:hint="eastAsia" w:ascii="方正仿宋_GBK" w:hAnsi="方正仿宋_GBK" w:eastAsia="方正仿宋_GBK" w:cs="方正仿宋_GBK"/>
          <w:color w:val="auto"/>
          <w:kern w:val="0"/>
          <w:sz w:val="32"/>
          <w:szCs w:val="32"/>
          <w:highlight w:val="none"/>
          <w:lang w:val="en-US" w:eastAsia="zh-CN"/>
        </w:rPr>
        <w:t>（2）质保要求：产品质保不少于1年，质保期内非人为损坏免费更换或维修，维修为原厂配件，质保期后维保价格不高于300元/年/探头。</w:t>
      </w:r>
    </w:p>
    <w:p w14:paraId="335F119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（3）故障响应：供应商应30分钟电话响应，4小时到达医院处置。</w:t>
      </w:r>
    </w:p>
    <w:p w14:paraId="54525B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（4）培训要求：使用前至少培训1次，管理人员均会操作。</w:t>
      </w:r>
    </w:p>
    <w:p w14:paraId="3D322FD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（七）投标保证金</w:t>
      </w:r>
    </w:p>
    <w:p w14:paraId="3ED6393C">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6DAEA934">
      <w:pPr>
        <w:keepNext w:val="0"/>
        <w:keepLines w:val="0"/>
        <w:pageBreakBefore w:val="0"/>
        <w:widowControl w:val="0"/>
        <w:numPr>
          <w:ilvl w:val="0"/>
          <w:numId w:val="6"/>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履约保证金</w:t>
      </w:r>
    </w:p>
    <w:p w14:paraId="13C80B8E">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2A3FF08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（九）违约责任</w:t>
      </w:r>
    </w:p>
    <w:p w14:paraId="788FD26E">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供应商未按采购人要求时限送货，每延长一日承担200元违约金；</w:t>
      </w:r>
    </w:p>
    <w:p w14:paraId="0627889A">
      <w:pPr>
        <w:keepNext w:val="0"/>
        <w:keepLines w:val="0"/>
        <w:pageBreakBefore w:val="0"/>
        <w:widowControl w:val="0"/>
        <w:kinsoku/>
        <w:wordWrap/>
        <w:overflowPunct/>
        <w:topLinePunct w:val="0"/>
        <w:autoSpaceDE/>
        <w:autoSpaceDN/>
        <w:bidi w:val="0"/>
        <w:adjustRightInd/>
        <w:snapToGrid w:val="0"/>
        <w:spacing w:line="500" w:lineRule="exact"/>
        <w:ind w:right="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产品验收不合格或使用中发现产品质量缺陷，采购人有权要求供应商整改，整改期限为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项目总额千分之三的违约金，超过20日未能完成整改，采购人有权解除合同，并要求供应商承担合同发生额30%的违约金，已经付款的供应商应全款退还采购人已经支付的款项；供应商产品质量问题，每次承担1000元违约金，同时承担赔偿责任。未按售后服务要求提供服务的，供应商将承担200元/次的违约金。</w:t>
      </w:r>
    </w:p>
    <w:p w14:paraId="089DF630">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3A70E71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产品出现技术和质量问题，未无条件更换同品牌、同规格、同型号产品和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或产品与合同约定或响应文件载明内容不一致的;⑧一个年度供应商连续发生5次违约行为的;⑨</w:t>
      </w:r>
      <w:r>
        <w:rPr>
          <w:rFonts w:hint="eastAsia" w:ascii="方正仿宋_GBK" w:hAnsi="方正仿宋_GBK" w:eastAsia="方正仿宋_GBK" w:cs="方正仿宋_GBK"/>
          <w:color w:val="auto"/>
          <w:sz w:val="32"/>
          <w:szCs w:val="32"/>
          <w:highlight w:val="none"/>
          <w:lang w:val="en-US" w:eastAsia="zh-CN"/>
        </w:rPr>
        <w:t>供应商及其产品、提供服务发生泄漏医院数据及患者隐私事件，采购人有权解除合同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并要求供应商返还已支付款项并承担合同金额1倍的违约金;⑩使用中发现供应商提供的产品有质量或安全问题供应商未立即整改，采购人有权解除合同并要求供应商承担项目金额2倍违约金;</w:t>
      </w:r>
      <w:r>
        <w:rPr>
          <w:rFonts w:hint="eastAsia" w:ascii="微软雅黑" w:hAnsi="微软雅黑" w:eastAsia="微软雅黑" w:cs="微软雅黑"/>
          <w:color w:val="auto"/>
          <w:kern w:val="0"/>
          <w:sz w:val="32"/>
          <w:szCs w:val="32"/>
          <w:highlight w:val="none"/>
          <w:lang w:val="en-US" w:eastAsia="zh-CN"/>
        </w:rPr>
        <w:t>⑪</w:t>
      </w:r>
      <w:r>
        <w:rPr>
          <w:rFonts w:hint="eastAsia" w:ascii="方正仿宋_GBK" w:hAnsi="方正仿宋_GBK" w:eastAsia="方正仿宋_GBK" w:cs="方正仿宋_GBK"/>
          <w:color w:val="auto"/>
          <w:kern w:val="0"/>
          <w:sz w:val="32"/>
          <w:szCs w:val="32"/>
          <w:highlight w:val="none"/>
          <w:lang w:val="en-US" w:eastAsia="zh-CN"/>
        </w:rPr>
        <w:t>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28D2DEF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因供应商提供的产品或服务原因引发纠纷、造成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163FD57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w:t>
      </w:r>
      <w:r>
        <w:rPr>
          <w:rFonts w:hint="eastAsia" w:ascii="方正仿宋_GBK" w:hAnsi="方正仿宋_GBK" w:eastAsia="方正仿宋_GBK" w:cs="方正仿宋_GBK"/>
          <w:b/>
          <w:bCs/>
          <w:color w:val="auto"/>
          <w:sz w:val="32"/>
          <w:szCs w:val="32"/>
          <w:highlight w:val="none"/>
          <w:lang w:val="en-US" w:eastAsia="zh-CN"/>
        </w:rPr>
        <w:t>无效响应情况（供应商投标前务必逐项核对）</w:t>
      </w:r>
    </w:p>
    <w:p w14:paraId="5246671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1.供应商不符合规定的基本资格条件或特定资格条件；</w:t>
      </w:r>
    </w:p>
    <w:p w14:paraId="0DC559A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2.最低评标价法不能完全满足技术要求、商务要求的；</w:t>
      </w:r>
    </w:p>
    <w:p w14:paraId="36DCB37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3.供应商响应文件内容、目录及页码不全；</w:t>
      </w:r>
    </w:p>
    <w:p w14:paraId="2AC3A08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4.供应商营业执照未圈出经营范围、有效期的；</w:t>
      </w:r>
    </w:p>
    <w:p w14:paraId="3B48BAD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5.供应商的报价超过采购总限价和分项限价的；</w:t>
      </w:r>
    </w:p>
    <w:p w14:paraId="55FEDB6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6.供应商所提交的响应文件未按采购人要求签字、盖章、份数的；</w:t>
      </w:r>
    </w:p>
    <w:p w14:paraId="542F023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7.供应商响应文件提供图片资料的，图片未占A4纸约 3/4 页面排版（便于采购人看清图片内容）</w:t>
      </w:r>
    </w:p>
    <w:p w14:paraId="36BD1F4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8.技术要求对照表佐证材料未按采购人附件要求标注信息所在具体页码并用用下划线标注所在位置（方便采购人及评审专家查阅，减少评审时间）；</w:t>
      </w:r>
    </w:p>
    <w:p w14:paraId="067A882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9.一般技术参数提供佐证支撑材料，如技术白皮书、产品说明书、产品彩页宣传、生产厂家官网截图及下载链接网址；有“△”的技术参数需要提供供应商加盖鲜章的第三方检测报告，检测报告须完整体现招标文件△参数的检测结果。故意不提供或提供虚假的佐证材料视为无效响应；</w:t>
      </w:r>
    </w:p>
    <w:p w14:paraId="2DF08A8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10.供应商响应文件内容有与国家现行法律法规相违背的内容，或附有采购人无法接受的条件；</w:t>
      </w:r>
    </w:p>
    <w:p w14:paraId="39C264E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11.法定代表人为同一个人的两个及两个以上法人，母公司、全资子公司及其控股公司，在同一分包采购中同时参与投标；</w:t>
      </w:r>
    </w:p>
    <w:p w14:paraId="0A64055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12.分公司单独投标未取得总公司的授权；</w:t>
      </w:r>
    </w:p>
    <w:p w14:paraId="5DC3118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13.单位负责人为同一人或者存在直接控股、管理关系的不同供应商，参加同一合同项下的政府采购活动的；</w:t>
      </w:r>
    </w:p>
    <w:p w14:paraId="6D27CD4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14.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0C1BDE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四.其他要求</w:t>
      </w:r>
    </w:p>
    <w:p w14:paraId="189F14C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（一）合同终止情形</w:t>
      </w:r>
    </w:p>
    <w:p w14:paraId="79459F1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出现不良事件；供应商廉洁违纪行为；供应商主动放弃等。</w:t>
      </w:r>
    </w:p>
    <w:p w14:paraId="4D620AD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（二）中选标准</w:t>
      </w:r>
    </w:p>
    <w:p w14:paraId="14C1AE1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59A02D9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（三）废标或流标情形</w:t>
      </w:r>
    </w:p>
    <w:p w14:paraId="38730D1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（1）首次询价无3家有效供应商；</w:t>
      </w:r>
    </w:p>
    <w:p w14:paraId="51869C0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（2）供应商不能在规定时限内对响应材料的真实性和合理性进行说明；</w:t>
      </w:r>
    </w:p>
    <w:p w14:paraId="3BE0952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（3）供应商存在围标、串标等违法行为；</w:t>
      </w:r>
    </w:p>
    <w:p w14:paraId="2A39A35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（4）中选供应商存在虚假响应。</w:t>
      </w:r>
    </w:p>
    <w:p w14:paraId="2BAE3A65">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（四）供应商有以下情形之一的，将纳入采购人不良行为记录，采购人将终止与供应商合同，并取消其两年内参加采购人的药品、设备、耗材招标投标的资格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w:t>
      </w:r>
    </w:p>
    <w:p w14:paraId="3A0DEA5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（1）经人民法院判决认定构成行贿犯罪，或者犯罪情节轻微，不需要判处刑罚，人民法院依据刑罚判处免于刑事处罚的；</w:t>
      </w:r>
    </w:p>
    <w:p w14:paraId="0D08415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（2）行贿行为情节轻微，人民检察院作出不起诉决定的；</w:t>
      </w:r>
    </w:p>
    <w:p w14:paraId="71C6524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（3）被纪检监察机关以贿赂立案调查，并依法作出相关处理的；</w:t>
      </w:r>
    </w:p>
    <w:p w14:paraId="3CFF1C1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（4）被列入国家、市卫生健康行政部门政务网站公布的商业贿赂不良记录名单的；</w:t>
      </w:r>
    </w:p>
    <w:p w14:paraId="353D430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（5）被列入国家医疗保障局网站公布的价格招采信用评价“特别严重”和“严重”失信评定结果名单的；</w:t>
      </w:r>
    </w:p>
    <w:p w14:paraId="0990F20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（6）因行贿、违法经营等行为被财政、工商行政管理、食品药品监管等部门列入不良执业记录或作出行政处罚的；</w:t>
      </w:r>
    </w:p>
    <w:p w14:paraId="5748A111">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（7）因串通投标、无正当理由不与采购人签订合同、提供虚假材料谋取中标、中标后提供假冒伪劣产品或无正当理由拒绝履行协议等严重违法失信行为的；</w:t>
      </w:r>
    </w:p>
    <w:p w14:paraId="787D81F2">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（8）法律、法规、规章规定的其他情形。</w:t>
      </w:r>
    </w:p>
    <w:p w14:paraId="0DE3BEBF">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（五）其他注意事项</w:t>
      </w:r>
    </w:p>
    <w:p w14:paraId="277C6791">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w:t>
      </w:r>
    </w:p>
    <w:p w14:paraId="08CAEFD5">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（2）无论招标结果如何，供应商参与本项目的所有费用均自行承担；</w:t>
      </w:r>
    </w:p>
    <w:p w14:paraId="017804FD">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（3）本次采购过程中如产生专家评审等相关费用将由成交供应商承担；</w:t>
      </w:r>
    </w:p>
    <w:p w14:paraId="6731CEC1">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（4）成交供应商未在规定时间内签订合同、拒绝签订履行采购合同的，采购人将纳入供应商不良行为记录进行管理；</w:t>
      </w:r>
    </w:p>
    <w:p w14:paraId="77705B3C">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（5）其他未尽事宜由供需双方在采购合同中详细约定；</w:t>
      </w:r>
    </w:p>
    <w:p w14:paraId="466C6A09">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（6）本项目不接受联合体参与投标；</w:t>
      </w:r>
    </w:p>
    <w:p w14:paraId="6C4773D8">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0D05B9B2">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（8）如投标人违反《中华人民共和国政府采购法》《中华人民共和国政府采购实施条例》等相关规定，采购人将按规定追究投标人法律责任。</w:t>
      </w:r>
    </w:p>
    <w:p w14:paraId="5D4F7DE2">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（六）投标档案袋密封要求（务必密封严实，密封不严采购人有权拒绝接收），如下图：</w:t>
      </w:r>
    </w:p>
    <w:p w14:paraId="4949266B">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color w:val="auto"/>
          <w:kern w:val="0"/>
          <w:sz w:val="32"/>
          <w:szCs w:val="32"/>
          <w:highlight w:val="none"/>
          <w:lang w:val="en-US" w:eastAsia="zh-CN"/>
        </w:rPr>
      </w:pPr>
      <w:r>
        <w:rPr>
          <w:rFonts w:hint="default"/>
          <w:highlight w:val="none"/>
          <w:lang w:val="en-US" w:eastAsia="zh-CN"/>
        </w:rPr>
        <w:drawing>
          <wp:anchor distT="0" distB="0" distL="114300" distR="114300" simplePos="0" relativeHeight="251660288" behindDoc="0" locked="0" layoutInCell="1" allowOverlap="1">
            <wp:simplePos x="0" y="0"/>
            <wp:positionH relativeFrom="column">
              <wp:posOffset>3442970</wp:posOffset>
            </wp:positionH>
            <wp:positionV relativeFrom="paragraph">
              <wp:posOffset>200660</wp:posOffset>
            </wp:positionV>
            <wp:extent cx="2572385" cy="3280410"/>
            <wp:effectExtent l="0" t="0" r="18415" b="15240"/>
            <wp:wrapSquare wrapText="bothSides"/>
            <wp:docPr id="4" name="图片 4"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320084137"/>
                    <pic:cNvPicPr>
                      <a:picLocks noChangeAspect="1"/>
                    </pic:cNvPicPr>
                  </pic:nvPicPr>
                  <pic:blipFill>
                    <a:blip r:embed="rId4"/>
                    <a:stretch>
                      <a:fillRect/>
                    </a:stretch>
                  </pic:blipFill>
                  <pic:spPr>
                    <a:xfrm>
                      <a:off x="0" y="0"/>
                      <a:ext cx="2572385" cy="3280410"/>
                    </a:xfrm>
                    <a:prstGeom prst="rect">
                      <a:avLst/>
                    </a:prstGeom>
                  </pic:spPr>
                </pic:pic>
              </a:graphicData>
            </a:graphic>
          </wp:anchor>
        </w:drawing>
      </w:r>
      <w:r>
        <w:rPr>
          <w:rFonts w:hint="default" w:ascii="方正仿宋_GBK" w:hAnsi="方正仿宋_GBK" w:eastAsia="方正仿宋_GBK" w:cs="方正仿宋_GBK"/>
          <w:b/>
          <w:bCs/>
          <w:color w:val="auto"/>
          <w:kern w:val="0"/>
          <w:sz w:val="32"/>
          <w:szCs w:val="32"/>
          <w:highlight w:val="none"/>
          <w:lang w:val="en-US" w:eastAsia="zh-CN"/>
        </w:rPr>
        <w:drawing>
          <wp:anchor distT="0" distB="0" distL="114300" distR="114300" simplePos="0" relativeHeight="251659264" behindDoc="0" locked="0" layoutInCell="1" allowOverlap="1">
            <wp:simplePos x="0" y="0"/>
            <wp:positionH relativeFrom="column">
              <wp:posOffset>415290</wp:posOffset>
            </wp:positionH>
            <wp:positionV relativeFrom="paragraph">
              <wp:posOffset>178435</wp:posOffset>
            </wp:positionV>
            <wp:extent cx="2541270" cy="3315970"/>
            <wp:effectExtent l="0" t="0" r="11430" b="17780"/>
            <wp:wrapSquare wrapText="bothSides"/>
            <wp:docPr id="3" name="图片 3"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王静-采购办\Desktop\微信图片_20240320084311.jpg微信图片_20240320084311"/>
                    <pic:cNvPicPr>
                      <a:picLocks noChangeAspect="1"/>
                    </pic:cNvPicPr>
                  </pic:nvPicPr>
                  <pic:blipFill>
                    <a:blip r:embed="rId5"/>
                    <a:srcRect/>
                    <a:stretch>
                      <a:fillRect/>
                    </a:stretch>
                  </pic:blipFill>
                  <pic:spPr>
                    <a:xfrm>
                      <a:off x="0" y="0"/>
                      <a:ext cx="2541270" cy="3315970"/>
                    </a:xfrm>
                    <a:prstGeom prst="rect">
                      <a:avLst/>
                    </a:prstGeom>
                  </pic:spPr>
                </pic:pic>
              </a:graphicData>
            </a:graphic>
          </wp:anchor>
        </w:drawing>
      </w:r>
    </w:p>
    <w:p w14:paraId="1C66D76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p>
    <w:p w14:paraId="768752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p>
    <w:p w14:paraId="4B88720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p>
    <w:p w14:paraId="7311610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p>
    <w:p w14:paraId="10F2590D">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p>
    <w:p w14:paraId="4333E63F">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240BEA3D">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6F8368D4">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2E8164F0">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1.一般</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（营业执照和承诺函）</w:t>
      </w:r>
    </w:p>
    <w:p w14:paraId="5FE36337">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2.特定资格条件</w:t>
      </w:r>
    </w:p>
    <w:p w14:paraId="6F83B69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0844CAE9">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75D68AF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737DB48A">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6.技术参数对照表及佐证材料</w:t>
      </w:r>
    </w:p>
    <w:p w14:paraId="7E5D91D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1BFE2F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68C5100">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4862EF45">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10.供应商自愿提供其他资料</w:t>
      </w:r>
    </w:p>
    <w:p w14:paraId="5A253ACE">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11.售后服务承诺</w:t>
      </w:r>
    </w:p>
    <w:p w14:paraId="3C734324">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12</w:t>
      </w:r>
      <w:r>
        <w:rPr>
          <w:rFonts w:hint="eastAsia" w:ascii="仿宋_GB2312" w:hAnsi="宋体" w:eastAsia="仿宋_GB2312" w:cs="宋体"/>
          <w:kern w:val="2"/>
          <w:sz w:val="32"/>
          <w:szCs w:val="32"/>
          <w:highlight w:val="none"/>
          <w:lang w:val="en-US" w:eastAsia="zh-CN" w:bidi="ar-SA"/>
        </w:rPr>
        <w:t>.投标廉政承诺书</w:t>
      </w:r>
    </w:p>
    <w:p w14:paraId="5B8C108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p>
    <w:p w14:paraId="67CDD936">
      <w:pPr>
        <w:ind w:firstLine="640" w:firstLineChars="200"/>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7F8DFAC5">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61EC1FBF">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343783B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582DC43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509EFC6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D2EC7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ED6613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A05260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FBD706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7449C7D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073198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7E333BF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60221082">
      <w:pPr>
        <w:jc w:val="left"/>
        <w:rPr>
          <w:rFonts w:hint="default" w:ascii="微软雅黑" w:hAnsi="微软雅黑" w:eastAsia="微软雅黑" w:cs="方正小标宋_GBK"/>
          <w:b/>
          <w:bCs/>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eastAsia="zh-CN"/>
        </w:rPr>
        <w:t>：</w:t>
      </w:r>
      <w:r>
        <w:rPr>
          <w:rFonts w:hint="eastAsia" w:ascii="微软雅黑" w:hAnsi="微软雅黑" w:eastAsia="微软雅黑" w:cs="方正小标宋_GBK"/>
          <w:b/>
          <w:bCs/>
          <w:sz w:val="32"/>
          <w:szCs w:val="32"/>
          <w:highlight w:val="none"/>
          <w:lang w:val="en-US" w:eastAsia="zh-CN"/>
        </w:rPr>
        <w:t>供应商营业执照（圈出经营范围及有效期，图片占3/4页面）</w:t>
      </w:r>
    </w:p>
    <w:p w14:paraId="1973F1B0">
      <w:pPr>
        <w:jc w:val="left"/>
        <w:rPr>
          <w:rFonts w:hint="default" w:ascii="方正小标宋_GBK" w:hAnsi="方正小标宋_GBK" w:eastAsia="微软雅黑" w:cs="方正小标宋_GBK"/>
          <w:b/>
          <w:bCs/>
          <w:sz w:val="40"/>
          <w:szCs w:val="40"/>
          <w:highlight w:val="none"/>
          <w:lang w:val="en-US" w:eastAsia="zh-CN"/>
        </w:r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val="en-US" w:eastAsia="zh-CN"/>
        </w:rPr>
        <w:t>承诺函</w:t>
      </w:r>
    </w:p>
    <w:p w14:paraId="715A2C1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12CA9363">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我方作为本次政府采购项目的投标人，现就本项目资格要求作出如下承诺：</w:t>
      </w:r>
    </w:p>
    <w:p w14:paraId="47616543">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具有良好的商业信誉和健全的财务会计制度，财务状况良好，能够满足本项目履约需要。</w:t>
      </w:r>
    </w:p>
    <w:p w14:paraId="59DD15FB">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2.</w:t>
      </w:r>
      <w:r>
        <w:rPr>
          <w:rFonts w:hint="eastAsia" w:ascii="微软雅黑" w:hAnsi="微软雅黑" w:eastAsia="微软雅黑" w:cs="微软雅黑"/>
          <w:sz w:val="30"/>
          <w:szCs w:val="30"/>
          <w:highlight w:val="none"/>
        </w:rPr>
        <w:t>具有履行合同所必需的设备和专业技术能力，具备完成本项目采购内容的相应实力。</w:t>
      </w:r>
    </w:p>
    <w:p w14:paraId="440E33AD">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3.</w:t>
      </w:r>
      <w:r>
        <w:rPr>
          <w:rFonts w:hint="eastAsia" w:ascii="微软雅黑" w:hAnsi="微软雅黑" w:eastAsia="微软雅黑" w:cs="微软雅黑"/>
          <w:sz w:val="30"/>
          <w:szCs w:val="30"/>
          <w:highlight w:val="none"/>
        </w:rPr>
        <w:t>有依法缴纳税收和社会保障资金的良好记录，无欠缴、违法违规等不良情形。</w:t>
      </w:r>
    </w:p>
    <w:p w14:paraId="3480A82E">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4.</w:t>
      </w:r>
      <w:r>
        <w:rPr>
          <w:rFonts w:hint="eastAsia" w:ascii="微软雅黑" w:hAnsi="微软雅黑" w:eastAsia="微软雅黑" w:cs="微软雅黑"/>
          <w:sz w:val="30"/>
          <w:szCs w:val="30"/>
          <w:highlight w:val="none"/>
        </w:rPr>
        <w:t>参加政府采购活动前三年内，在经营活动中没有重大违法记录，未被列入失信被执行人、重大税收违法失信主体、政府采购严重违法失信行为记录名单。</w:t>
      </w:r>
    </w:p>
    <w:p w14:paraId="200B6CB9">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我方承诺上述内容真实有效，如有虚假，自愿承担一切法律责任及取消投标资格、中标无效等后果。</w:t>
      </w:r>
    </w:p>
    <w:p w14:paraId="4A558510">
      <w:pPr>
        <w:spacing w:line="500" w:lineRule="exact"/>
        <w:ind w:firstLine="600" w:firstLineChars="200"/>
        <w:rPr>
          <w:rFonts w:ascii="微软雅黑" w:hAnsi="微软雅黑" w:eastAsia="微软雅黑" w:cs="微软雅黑"/>
          <w:sz w:val="30"/>
          <w:szCs w:val="30"/>
          <w:highlight w:val="none"/>
        </w:rPr>
      </w:pPr>
    </w:p>
    <w:p w14:paraId="7420540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5BC34212">
      <w:pPr>
        <w:ind w:firstLine="600" w:firstLineChars="200"/>
        <w:rPr>
          <w:rFonts w:ascii="微软雅黑" w:hAnsi="微软雅黑" w:eastAsia="微软雅黑" w:cs="微软雅黑"/>
          <w:sz w:val="30"/>
          <w:szCs w:val="30"/>
          <w:highlight w:val="none"/>
        </w:rPr>
      </w:pPr>
    </w:p>
    <w:p w14:paraId="1BB82629">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w:t>
      </w:r>
      <w:r>
        <w:rPr>
          <w:rFonts w:hint="eastAsia" w:ascii="微软雅黑" w:hAnsi="微软雅黑" w:eastAsia="微软雅黑" w:cs="微软雅黑"/>
          <w:sz w:val="30"/>
          <w:szCs w:val="30"/>
          <w:highlight w:val="none"/>
          <w:lang w:val="en-US" w:eastAsia="zh-CN"/>
        </w:rPr>
        <w:t>名称并加盖</w:t>
      </w:r>
      <w:r>
        <w:rPr>
          <w:rFonts w:hint="eastAsia" w:ascii="微软雅黑" w:hAnsi="微软雅黑" w:eastAsia="微软雅黑" w:cs="微软雅黑"/>
          <w:sz w:val="30"/>
          <w:szCs w:val="30"/>
          <w:highlight w:val="none"/>
        </w:rPr>
        <w:t>公章）</w:t>
      </w:r>
    </w:p>
    <w:p w14:paraId="0EB9D84C">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6711371D">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4476095">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法定代表人身份证明书</w:t>
      </w:r>
    </w:p>
    <w:p w14:paraId="566E09A9">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387BA124">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5C77E1D4">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888D70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0E6C79C2">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69A1678">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102AA6AE">
      <w:pPr>
        <w:spacing w:line="594" w:lineRule="exact"/>
        <w:ind w:firstLine="600" w:firstLineChars="200"/>
        <w:rPr>
          <w:rFonts w:hint="eastAsia" w:ascii="微软雅黑" w:hAnsi="微软雅黑" w:eastAsia="微软雅黑"/>
          <w:sz w:val="30"/>
          <w:szCs w:val="30"/>
          <w:highlight w:val="none"/>
        </w:rPr>
      </w:pPr>
    </w:p>
    <w:p w14:paraId="3451FB7E">
      <w:pPr>
        <w:spacing w:line="594" w:lineRule="exact"/>
        <w:ind w:firstLine="600" w:firstLineChars="200"/>
        <w:rPr>
          <w:rFonts w:hint="eastAsia" w:ascii="微软雅黑" w:hAnsi="微软雅黑" w:eastAsia="微软雅黑"/>
          <w:sz w:val="30"/>
          <w:szCs w:val="30"/>
          <w:highlight w:val="none"/>
        </w:rPr>
      </w:pPr>
    </w:p>
    <w:p w14:paraId="2FD431D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58F807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w:t>
      </w:r>
    </w:p>
    <w:p w14:paraId="5D98F4BA">
      <w:pPr>
        <w:spacing w:line="594" w:lineRule="exact"/>
        <w:ind w:firstLine="640" w:firstLineChars="200"/>
        <w:rPr>
          <w:rFonts w:hint="eastAsia" w:ascii="方正仿宋_GBK" w:eastAsia="方正仿宋_GBK"/>
          <w:sz w:val="32"/>
          <w:szCs w:val="32"/>
          <w:highlight w:val="none"/>
        </w:rPr>
      </w:pPr>
    </w:p>
    <w:p w14:paraId="3F8B357A">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30A0AD59">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75017344"/>
      <w:bookmarkStart w:id="1" w:name="_Toc173677399"/>
      <w:bookmarkStart w:id="2" w:name="_Toc128014297"/>
      <w:bookmarkStart w:id="3" w:name="_Toc237057793"/>
      <w:bookmarkStart w:id="4" w:name="_Toc128229304"/>
      <w:bookmarkStart w:id="5" w:name="_Toc128229747"/>
      <w:bookmarkStart w:id="6" w:name="_Toc156196472"/>
    </w:p>
    <w:bookmarkEnd w:id="0"/>
    <w:bookmarkEnd w:id="1"/>
    <w:bookmarkEnd w:id="2"/>
    <w:bookmarkEnd w:id="3"/>
    <w:bookmarkEnd w:id="4"/>
    <w:bookmarkEnd w:id="5"/>
    <w:bookmarkEnd w:id="6"/>
    <w:p w14:paraId="3D902F2B">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投标人法定代表人授权委托书</w:t>
      </w:r>
    </w:p>
    <w:p w14:paraId="485EE65B">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05F34A05">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1F6FF59A">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6FDC8A81">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E02B410">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56E22632">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7A9BBF12">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F2BFEF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5496C0C8">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4F9D1E57">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1B3D0EE5">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499252F9">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0B42006">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0F1A8D66">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73D3B40C">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371FFDD3">
      <w:pPr>
        <w:rPr>
          <w:rFonts w:hint="eastAsia" w:ascii="仿宋_GB2312" w:hAnsi="Arial" w:eastAsia="仿宋_GB2312" w:cstheme="minorBidi"/>
          <w:b/>
          <w:color w:val="auto"/>
          <w:kern w:val="2"/>
          <w:sz w:val="28"/>
          <w:szCs w:val="28"/>
          <w:highlight w:val="none"/>
          <w:lang w:val="en-US" w:eastAsia="zh-CN" w:bidi="ar-SA"/>
        </w:rPr>
      </w:pPr>
    </w:p>
    <w:p w14:paraId="720EC821">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02C3832F">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left"/>
        <w:textAlignment w:val="auto"/>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44A4479D">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1DF8F05">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20F90917">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596"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50DD0F08">
      <w:pPr>
        <w:pStyle w:val="9"/>
        <w:keepNext w:val="0"/>
        <w:keepLines w:val="0"/>
        <w:pageBreakBefore w:val="0"/>
        <w:widowControl w:val="0"/>
        <w:numPr>
          <w:ilvl w:val="0"/>
          <w:numId w:val="7"/>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253E032E">
      <w:pPr>
        <w:pStyle w:val="9"/>
        <w:keepNext w:val="0"/>
        <w:keepLines w:val="0"/>
        <w:pageBreakBefore w:val="0"/>
        <w:widowControl w:val="0"/>
        <w:numPr>
          <w:ilvl w:val="0"/>
          <w:numId w:val="7"/>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50B29E7B">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32F9052C">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7821AAE4">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3EE6C30">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5EC01D6A">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7.采购人有权与有效供应商在二次议价时针对采购文件中不明晰的内容进行商务谈判，进一步明确需求。</w:t>
      </w:r>
    </w:p>
    <w:p w14:paraId="0A72D473">
      <w:pPr>
        <w:rPr>
          <w:rFonts w:hint="default"/>
          <w:highlight w:val="none"/>
          <w:lang w:val="en-US" w:eastAsia="zh-CN"/>
        </w:rPr>
      </w:pPr>
    </w:p>
    <w:p w14:paraId="35BE2204">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09F1717C">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63D1CBA0">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05DE17A">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697F6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EE3195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5CF2742">
            <w:pPr>
              <w:spacing w:line="300" w:lineRule="exact"/>
              <w:jc w:val="center"/>
              <w:rPr>
                <w:rFonts w:hint="default"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采购人需求项目名称</w:t>
            </w:r>
          </w:p>
        </w:tc>
        <w:tc>
          <w:tcPr>
            <w:tcW w:w="1831" w:type="dxa"/>
            <w:noWrap w:val="0"/>
            <w:vAlign w:val="center"/>
          </w:tcPr>
          <w:p w14:paraId="47308488">
            <w:pPr>
              <w:spacing w:line="300" w:lineRule="exact"/>
              <w:jc w:val="center"/>
              <w:rPr>
                <w:rFonts w:hint="default" w:ascii="微软雅黑" w:hAnsi="微软雅黑" w:eastAsia="微软雅黑" w:cs="微软雅黑"/>
                <w:b/>
                <w:sz w:val="24"/>
                <w:szCs w:val="24"/>
                <w:highlight w:val="none"/>
                <w:lang w:val="en-US"/>
              </w:rPr>
            </w:pPr>
            <w:r>
              <w:rPr>
                <w:rFonts w:hint="eastAsia" w:ascii="微软雅黑" w:hAnsi="微软雅黑" w:eastAsia="微软雅黑" w:cs="微软雅黑"/>
                <w:b/>
                <w:sz w:val="24"/>
                <w:szCs w:val="24"/>
                <w:highlight w:val="none"/>
                <w:lang w:val="en-US" w:eastAsia="zh-CN"/>
              </w:rPr>
              <w:t>供应商响应的生产厂家、产品名称及</w:t>
            </w:r>
            <w:r>
              <w:rPr>
                <w:rFonts w:hint="eastAsia" w:ascii="微软雅黑" w:hAnsi="微软雅黑" w:eastAsia="微软雅黑" w:cs="微软雅黑"/>
                <w:b/>
                <w:sz w:val="24"/>
                <w:szCs w:val="24"/>
                <w:highlight w:val="none"/>
                <w:lang w:eastAsia="zh-CN"/>
              </w:rPr>
              <w:t>规格</w:t>
            </w:r>
            <w:r>
              <w:rPr>
                <w:rFonts w:hint="eastAsia" w:ascii="微软雅黑" w:hAnsi="微软雅黑" w:eastAsia="微软雅黑" w:cs="微软雅黑"/>
                <w:b/>
                <w:sz w:val="24"/>
                <w:szCs w:val="24"/>
                <w:highlight w:val="none"/>
                <w:lang w:val="en-US" w:eastAsia="zh-CN"/>
              </w:rPr>
              <w:t>型号</w:t>
            </w:r>
          </w:p>
        </w:tc>
        <w:tc>
          <w:tcPr>
            <w:tcW w:w="1590" w:type="dxa"/>
            <w:noWrap w:val="0"/>
            <w:vAlign w:val="center"/>
          </w:tcPr>
          <w:p w14:paraId="75C8153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436526E1">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1A2FD049">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0EB8B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186822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1A73DCB">
            <w:pPr>
              <w:spacing w:line="300" w:lineRule="exact"/>
              <w:rPr>
                <w:rFonts w:ascii="微软雅黑" w:hAnsi="微软雅黑" w:eastAsia="微软雅黑" w:cs="微软雅黑"/>
                <w:sz w:val="24"/>
                <w:szCs w:val="24"/>
                <w:highlight w:val="none"/>
              </w:rPr>
            </w:pPr>
          </w:p>
        </w:tc>
        <w:tc>
          <w:tcPr>
            <w:tcW w:w="1831" w:type="dxa"/>
            <w:noWrap w:val="0"/>
            <w:vAlign w:val="top"/>
          </w:tcPr>
          <w:p w14:paraId="55D1FD9C">
            <w:pPr>
              <w:spacing w:line="300" w:lineRule="exact"/>
              <w:rPr>
                <w:rFonts w:ascii="微软雅黑" w:hAnsi="微软雅黑" w:eastAsia="微软雅黑" w:cs="微软雅黑"/>
                <w:sz w:val="24"/>
                <w:szCs w:val="24"/>
                <w:highlight w:val="none"/>
              </w:rPr>
            </w:pPr>
          </w:p>
        </w:tc>
        <w:tc>
          <w:tcPr>
            <w:tcW w:w="1590" w:type="dxa"/>
            <w:noWrap w:val="0"/>
            <w:vAlign w:val="top"/>
          </w:tcPr>
          <w:p w14:paraId="2F9E827A">
            <w:pPr>
              <w:spacing w:line="300" w:lineRule="exact"/>
              <w:rPr>
                <w:rFonts w:ascii="微软雅黑" w:hAnsi="微软雅黑" w:eastAsia="微软雅黑" w:cs="微软雅黑"/>
                <w:sz w:val="24"/>
                <w:szCs w:val="24"/>
                <w:highlight w:val="none"/>
              </w:rPr>
            </w:pPr>
          </w:p>
        </w:tc>
        <w:tc>
          <w:tcPr>
            <w:tcW w:w="2249" w:type="dxa"/>
            <w:noWrap w:val="0"/>
            <w:vAlign w:val="top"/>
          </w:tcPr>
          <w:p w14:paraId="11FDBDF4">
            <w:pPr>
              <w:spacing w:line="300" w:lineRule="exact"/>
              <w:rPr>
                <w:rFonts w:ascii="微软雅黑" w:hAnsi="微软雅黑" w:eastAsia="微软雅黑" w:cs="微软雅黑"/>
                <w:sz w:val="24"/>
                <w:szCs w:val="24"/>
                <w:highlight w:val="none"/>
              </w:rPr>
            </w:pPr>
          </w:p>
        </w:tc>
        <w:tc>
          <w:tcPr>
            <w:tcW w:w="1275" w:type="dxa"/>
            <w:noWrap w:val="0"/>
            <w:vAlign w:val="top"/>
          </w:tcPr>
          <w:p w14:paraId="2BB8C8DC">
            <w:pPr>
              <w:spacing w:line="300" w:lineRule="exact"/>
              <w:rPr>
                <w:rFonts w:ascii="微软雅黑" w:hAnsi="微软雅黑" w:eastAsia="微软雅黑" w:cs="微软雅黑"/>
                <w:sz w:val="24"/>
                <w:szCs w:val="24"/>
                <w:highlight w:val="none"/>
              </w:rPr>
            </w:pPr>
          </w:p>
        </w:tc>
      </w:tr>
      <w:tr w14:paraId="3B543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3D5B9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4D651431">
            <w:pPr>
              <w:spacing w:line="300" w:lineRule="exact"/>
              <w:rPr>
                <w:rFonts w:ascii="微软雅黑" w:hAnsi="微软雅黑" w:eastAsia="微软雅黑" w:cs="微软雅黑"/>
                <w:sz w:val="24"/>
                <w:szCs w:val="24"/>
                <w:highlight w:val="none"/>
              </w:rPr>
            </w:pPr>
          </w:p>
        </w:tc>
        <w:tc>
          <w:tcPr>
            <w:tcW w:w="1831" w:type="dxa"/>
            <w:noWrap w:val="0"/>
            <w:vAlign w:val="top"/>
          </w:tcPr>
          <w:p w14:paraId="3D2C29C4">
            <w:pPr>
              <w:spacing w:line="300" w:lineRule="exact"/>
              <w:rPr>
                <w:rFonts w:ascii="微软雅黑" w:hAnsi="微软雅黑" w:eastAsia="微软雅黑" w:cs="微软雅黑"/>
                <w:sz w:val="24"/>
                <w:szCs w:val="24"/>
                <w:highlight w:val="none"/>
              </w:rPr>
            </w:pPr>
          </w:p>
        </w:tc>
        <w:tc>
          <w:tcPr>
            <w:tcW w:w="1590" w:type="dxa"/>
            <w:noWrap w:val="0"/>
            <w:vAlign w:val="top"/>
          </w:tcPr>
          <w:p w14:paraId="1CB1DE65">
            <w:pPr>
              <w:spacing w:line="300" w:lineRule="exact"/>
              <w:rPr>
                <w:rFonts w:ascii="微软雅黑" w:hAnsi="微软雅黑" w:eastAsia="微软雅黑" w:cs="微软雅黑"/>
                <w:sz w:val="24"/>
                <w:szCs w:val="24"/>
                <w:highlight w:val="none"/>
              </w:rPr>
            </w:pPr>
          </w:p>
        </w:tc>
        <w:tc>
          <w:tcPr>
            <w:tcW w:w="2249" w:type="dxa"/>
            <w:noWrap w:val="0"/>
            <w:vAlign w:val="top"/>
          </w:tcPr>
          <w:p w14:paraId="306FFC78">
            <w:pPr>
              <w:spacing w:line="300" w:lineRule="exact"/>
              <w:rPr>
                <w:rFonts w:ascii="微软雅黑" w:hAnsi="微软雅黑" w:eastAsia="微软雅黑" w:cs="微软雅黑"/>
                <w:sz w:val="24"/>
                <w:szCs w:val="24"/>
                <w:highlight w:val="none"/>
              </w:rPr>
            </w:pPr>
          </w:p>
        </w:tc>
        <w:tc>
          <w:tcPr>
            <w:tcW w:w="1275" w:type="dxa"/>
            <w:noWrap w:val="0"/>
            <w:vAlign w:val="top"/>
          </w:tcPr>
          <w:p w14:paraId="455F016F">
            <w:pPr>
              <w:spacing w:line="300" w:lineRule="exact"/>
              <w:rPr>
                <w:rFonts w:ascii="微软雅黑" w:hAnsi="微软雅黑" w:eastAsia="微软雅黑" w:cs="微软雅黑"/>
                <w:sz w:val="24"/>
                <w:szCs w:val="24"/>
                <w:highlight w:val="none"/>
              </w:rPr>
            </w:pPr>
          </w:p>
        </w:tc>
      </w:tr>
      <w:tr w14:paraId="075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57D479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1F67E57">
            <w:pPr>
              <w:spacing w:line="300" w:lineRule="exact"/>
              <w:rPr>
                <w:rFonts w:ascii="微软雅黑" w:hAnsi="微软雅黑" w:eastAsia="微软雅黑" w:cs="微软雅黑"/>
                <w:sz w:val="24"/>
                <w:szCs w:val="24"/>
                <w:highlight w:val="none"/>
              </w:rPr>
            </w:pPr>
          </w:p>
        </w:tc>
        <w:tc>
          <w:tcPr>
            <w:tcW w:w="1831" w:type="dxa"/>
            <w:noWrap w:val="0"/>
            <w:vAlign w:val="top"/>
          </w:tcPr>
          <w:p w14:paraId="5A3D5D6C">
            <w:pPr>
              <w:spacing w:line="300" w:lineRule="exact"/>
              <w:rPr>
                <w:rFonts w:ascii="微软雅黑" w:hAnsi="微软雅黑" w:eastAsia="微软雅黑" w:cs="微软雅黑"/>
                <w:sz w:val="24"/>
                <w:szCs w:val="24"/>
                <w:highlight w:val="none"/>
              </w:rPr>
            </w:pPr>
          </w:p>
        </w:tc>
        <w:tc>
          <w:tcPr>
            <w:tcW w:w="1590" w:type="dxa"/>
            <w:noWrap w:val="0"/>
            <w:vAlign w:val="top"/>
          </w:tcPr>
          <w:p w14:paraId="7961B651">
            <w:pPr>
              <w:spacing w:line="300" w:lineRule="exact"/>
              <w:rPr>
                <w:rFonts w:ascii="微软雅黑" w:hAnsi="微软雅黑" w:eastAsia="微软雅黑" w:cs="微软雅黑"/>
                <w:sz w:val="24"/>
                <w:szCs w:val="24"/>
                <w:highlight w:val="none"/>
              </w:rPr>
            </w:pPr>
          </w:p>
        </w:tc>
        <w:tc>
          <w:tcPr>
            <w:tcW w:w="2249" w:type="dxa"/>
            <w:noWrap w:val="0"/>
            <w:vAlign w:val="top"/>
          </w:tcPr>
          <w:p w14:paraId="06574F9C">
            <w:pPr>
              <w:spacing w:line="300" w:lineRule="exact"/>
              <w:rPr>
                <w:rFonts w:ascii="微软雅黑" w:hAnsi="微软雅黑" w:eastAsia="微软雅黑" w:cs="微软雅黑"/>
                <w:sz w:val="24"/>
                <w:szCs w:val="24"/>
                <w:highlight w:val="none"/>
              </w:rPr>
            </w:pPr>
          </w:p>
        </w:tc>
        <w:tc>
          <w:tcPr>
            <w:tcW w:w="1275" w:type="dxa"/>
            <w:noWrap w:val="0"/>
            <w:vAlign w:val="top"/>
          </w:tcPr>
          <w:p w14:paraId="69F997F0">
            <w:pPr>
              <w:spacing w:line="300" w:lineRule="exact"/>
              <w:rPr>
                <w:rFonts w:ascii="微软雅黑" w:hAnsi="微软雅黑" w:eastAsia="微软雅黑" w:cs="微软雅黑"/>
                <w:sz w:val="24"/>
                <w:szCs w:val="24"/>
                <w:highlight w:val="none"/>
              </w:rPr>
            </w:pPr>
          </w:p>
        </w:tc>
      </w:tr>
      <w:tr w14:paraId="0842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EA7E96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7769D932">
            <w:pPr>
              <w:spacing w:line="300" w:lineRule="exact"/>
              <w:rPr>
                <w:rFonts w:ascii="微软雅黑" w:hAnsi="微软雅黑" w:eastAsia="微软雅黑" w:cs="微软雅黑"/>
                <w:sz w:val="24"/>
                <w:szCs w:val="24"/>
                <w:highlight w:val="none"/>
              </w:rPr>
            </w:pPr>
          </w:p>
        </w:tc>
        <w:tc>
          <w:tcPr>
            <w:tcW w:w="1831" w:type="dxa"/>
            <w:noWrap w:val="0"/>
            <w:vAlign w:val="top"/>
          </w:tcPr>
          <w:p w14:paraId="68102299">
            <w:pPr>
              <w:spacing w:line="300" w:lineRule="exact"/>
              <w:rPr>
                <w:rFonts w:ascii="微软雅黑" w:hAnsi="微软雅黑" w:eastAsia="微软雅黑" w:cs="微软雅黑"/>
                <w:sz w:val="24"/>
                <w:szCs w:val="24"/>
                <w:highlight w:val="none"/>
              </w:rPr>
            </w:pPr>
          </w:p>
        </w:tc>
        <w:tc>
          <w:tcPr>
            <w:tcW w:w="1590" w:type="dxa"/>
            <w:noWrap w:val="0"/>
            <w:vAlign w:val="top"/>
          </w:tcPr>
          <w:p w14:paraId="34BC807A">
            <w:pPr>
              <w:spacing w:line="300" w:lineRule="exact"/>
              <w:rPr>
                <w:rFonts w:ascii="微软雅黑" w:hAnsi="微软雅黑" w:eastAsia="微软雅黑" w:cs="微软雅黑"/>
                <w:sz w:val="24"/>
                <w:szCs w:val="24"/>
                <w:highlight w:val="none"/>
              </w:rPr>
            </w:pPr>
          </w:p>
        </w:tc>
        <w:tc>
          <w:tcPr>
            <w:tcW w:w="2249" w:type="dxa"/>
            <w:noWrap w:val="0"/>
            <w:vAlign w:val="top"/>
          </w:tcPr>
          <w:p w14:paraId="56FDCA6A">
            <w:pPr>
              <w:spacing w:line="300" w:lineRule="exact"/>
              <w:rPr>
                <w:rFonts w:ascii="微软雅黑" w:hAnsi="微软雅黑" w:eastAsia="微软雅黑" w:cs="微软雅黑"/>
                <w:sz w:val="24"/>
                <w:szCs w:val="24"/>
                <w:highlight w:val="none"/>
              </w:rPr>
            </w:pPr>
          </w:p>
        </w:tc>
        <w:tc>
          <w:tcPr>
            <w:tcW w:w="1275" w:type="dxa"/>
            <w:noWrap w:val="0"/>
            <w:vAlign w:val="top"/>
          </w:tcPr>
          <w:p w14:paraId="120F0FEA">
            <w:pPr>
              <w:spacing w:line="300" w:lineRule="exact"/>
              <w:rPr>
                <w:rFonts w:ascii="微软雅黑" w:hAnsi="微软雅黑" w:eastAsia="微软雅黑" w:cs="微软雅黑"/>
                <w:sz w:val="24"/>
                <w:szCs w:val="24"/>
                <w:highlight w:val="none"/>
              </w:rPr>
            </w:pPr>
          </w:p>
        </w:tc>
      </w:tr>
      <w:tr w14:paraId="7689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A78E531">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B69222D">
            <w:pPr>
              <w:spacing w:line="300" w:lineRule="exact"/>
              <w:rPr>
                <w:rFonts w:ascii="微软雅黑" w:hAnsi="微软雅黑" w:eastAsia="微软雅黑" w:cs="微软雅黑"/>
                <w:sz w:val="24"/>
                <w:szCs w:val="24"/>
                <w:highlight w:val="none"/>
              </w:rPr>
            </w:pPr>
          </w:p>
        </w:tc>
        <w:tc>
          <w:tcPr>
            <w:tcW w:w="1831" w:type="dxa"/>
            <w:noWrap w:val="0"/>
            <w:vAlign w:val="top"/>
          </w:tcPr>
          <w:p w14:paraId="06C8B518">
            <w:pPr>
              <w:spacing w:line="300" w:lineRule="exact"/>
              <w:rPr>
                <w:rFonts w:ascii="微软雅黑" w:hAnsi="微软雅黑" w:eastAsia="微软雅黑" w:cs="微软雅黑"/>
                <w:sz w:val="24"/>
                <w:szCs w:val="24"/>
                <w:highlight w:val="none"/>
              </w:rPr>
            </w:pPr>
          </w:p>
        </w:tc>
        <w:tc>
          <w:tcPr>
            <w:tcW w:w="1590" w:type="dxa"/>
            <w:noWrap w:val="0"/>
            <w:vAlign w:val="top"/>
          </w:tcPr>
          <w:p w14:paraId="78E949CE">
            <w:pPr>
              <w:spacing w:line="300" w:lineRule="exact"/>
              <w:rPr>
                <w:rFonts w:ascii="微软雅黑" w:hAnsi="微软雅黑" w:eastAsia="微软雅黑" w:cs="微软雅黑"/>
                <w:sz w:val="24"/>
                <w:szCs w:val="24"/>
                <w:highlight w:val="none"/>
              </w:rPr>
            </w:pPr>
          </w:p>
        </w:tc>
        <w:tc>
          <w:tcPr>
            <w:tcW w:w="2249" w:type="dxa"/>
            <w:noWrap w:val="0"/>
            <w:vAlign w:val="top"/>
          </w:tcPr>
          <w:p w14:paraId="212020A9">
            <w:pPr>
              <w:spacing w:line="300" w:lineRule="exact"/>
              <w:rPr>
                <w:rFonts w:ascii="微软雅黑" w:hAnsi="微软雅黑" w:eastAsia="微软雅黑" w:cs="微软雅黑"/>
                <w:sz w:val="24"/>
                <w:szCs w:val="24"/>
                <w:highlight w:val="none"/>
              </w:rPr>
            </w:pPr>
          </w:p>
        </w:tc>
        <w:tc>
          <w:tcPr>
            <w:tcW w:w="1275" w:type="dxa"/>
            <w:noWrap w:val="0"/>
            <w:vAlign w:val="top"/>
          </w:tcPr>
          <w:p w14:paraId="676E2F03">
            <w:pPr>
              <w:spacing w:line="300" w:lineRule="exact"/>
              <w:rPr>
                <w:rFonts w:ascii="微软雅黑" w:hAnsi="微软雅黑" w:eastAsia="微软雅黑" w:cs="微软雅黑"/>
                <w:sz w:val="24"/>
                <w:szCs w:val="24"/>
                <w:highlight w:val="none"/>
              </w:rPr>
            </w:pPr>
          </w:p>
        </w:tc>
      </w:tr>
      <w:tr w14:paraId="30E4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689C5A6">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2EC6C7DB">
            <w:pPr>
              <w:spacing w:line="300" w:lineRule="exact"/>
              <w:rPr>
                <w:rFonts w:ascii="微软雅黑" w:hAnsi="微软雅黑" w:eastAsia="微软雅黑" w:cs="微软雅黑"/>
                <w:sz w:val="24"/>
                <w:szCs w:val="24"/>
                <w:highlight w:val="none"/>
              </w:rPr>
            </w:pPr>
          </w:p>
        </w:tc>
        <w:tc>
          <w:tcPr>
            <w:tcW w:w="1831" w:type="dxa"/>
            <w:noWrap w:val="0"/>
            <w:vAlign w:val="top"/>
          </w:tcPr>
          <w:p w14:paraId="4430096F">
            <w:pPr>
              <w:spacing w:line="300" w:lineRule="exact"/>
              <w:rPr>
                <w:rFonts w:ascii="微软雅黑" w:hAnsi="微软雅黑" w:eastAsia="微软雅黑" w:cs="微软雅黑"/>
                <w:sz w:val="24"/>
                <w:szCs w:val="24"/>
                <w:highlight w:val="none"/>
              </w:rPr>
            </w:pPr>
          </w:p>
        </w:tc>
        <w:tc>
          <w:tcPr>
            <w:tcW w:w="1590" w:type="dxa"/>
            <w:noWrap w:val="0"/>
            <w:vAlign w:val="top"/>
          </w:tcPr>
          <w:p w14:paraId="4AABB4D4">
            <w:pPr>
              <w:spacing w:line="300" w:lineRule="exact"/>
              <w:rPr>
                <w:rFonts w:ascii="微软雅黑" w:hAnsi="微软雅黑" w:eastAsia="微软雅黑" w:cs="微软雅黑"/>
                <w:sz w:val="24"/>
                <w:szCs w:val="24"/>
                <w:highlight w:val="none"/>
              </w:rPr>
            </w:pPr>
          </w:p>
        </w:tc>
        <w:tc>
          <w:tcPr>
            <w:tcW w:w="2249" w:type="dxa"/>
            <w:noWrap w:val="0"/>
            <w:vAlign w:val="top"/>
          </w:tcPr>
          <w:p w14:paraId="0EE4CE59">
            <w:pPr>
              <w:spacing w:line="300" w:lineRule="exact"/>
              <w:rPr>
                <w:rFonts w:ascii="微软雅黑" w:hAnsi="微软雅黑" w:eastAsia="微软雅黑" w:cs="微软雅黑"/>
                <w:sz w:val="24"/>
                <w:szCs w:val="24"/>
                <w:highlight w:val="none"/>
              </w:rPr>
            </w:pPr>
          </w:p>
        </w:tc>
        <w:tc>
          <w:tcPr>
            <w:tcW w:w="1275" w:type="dxa"/>
            <w:noWrap w:val="0"/>
            <w:vAlign w:val="top"/>
          </w:tcPr>
          <w:p w14:paraId="186E2171">
            <w:pPr>
              <w:spacing w:line="300" w:lineRule="exact"/>
              <w:rPr>
                <w:rFonts w:ascii="微软雅黑" w:hAnsi="微软雅黑" w:eastAsia="微软雅黑" w:cs="微软雅黑"/>
                <w:sz w:val="24"/>
                <w:szCs w:val="24"/>
                <w:highlight w:val="none"/>
              </w:rPr>
            </w:pPr>
          </w:p>
        </w:tc>
      </w:tr>
      <w:tr w14:paraId="15FC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79DA5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7FE44AA">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6B41CAD1">
            <w:pPr>
              <w:spacing w:line="300" w:lineRule="exact"/>
              <w:rPr>
                <w:rFonts w:ascii="微软雅黑" w:hAnsi="微软雅黑" w:eastAsia="微软雅黑" w:cs="微软雅黑"/>
                <w:sz w:val="24"/>
                <w:szCs w:val="24"/>
                <w:highlight w:val="none"/>
              </w:rPr>
            </w:pPr>
          </w:p>
        </w:tc>
        <w:tc>
          <w:tcPr>
            <w:tcW w:w="1590" w:type="dxa"/>
            <w:noWrap w:val="0"/>
            <w:vAlign w:val="top"/>
          </w:tcPr>
          <w:p w14:paraId="09FBE8FC">
            <w:pPr>
              <w:spacing w:line="300" w:lineRule="exact"/>
              <w:rPr>
                <w:rFonts w:ascii="微软雅黑" w:hAnsi="微软雅黑" w:eastAsia="微软雅黑" w:cs="微软雅黑"/>
                <w:sz w:val="24"/>
                <w:szCs w:val="24"/>
                <w:highlight w:val="none"/>
              </w:rPr>
            </w:pPr>
          </w:p>
        </w:tc>
        <w:tc>
          <w:tcPr>
            <w:tcW w:w="2249" w:type="dxa"/>
            <w:noWrap w:val="0"/>
            <w:vAlign w:val="top"/>
          </w:tcPr>
          <w:p w14:paraId="27780B1B">
            <w:pPr>
              <w:spacing w:line="300" w:lineRule="exact"/>
              <w:rPr>
                <w:rFonts w:ascii="微软雅黑" w:hAnsi="微软雅黑" w:eastAsia="微软雅黑" w:cs="微软雅黑"/>
                <w:sz w:val="24"/>
                <w:szCs w:val="24"/>
                <w:highlight w:val="none"/>
              </w:rPr>
            </w:pPr>
          </w:p>
        </w:tc>
        <w:tc>
          <w:tcPr>
            <w:tcW w:w="1275" w:type="dxa"/>
            <w:noWrap w:val="0"/>
            <w:vAlign w:val="top"/>
          </w:tcPr>
          <w:p w14:paraId="2B8E4288">
            <w:pPr>
              <w:spacing w:line="300" w:lineRule="exact"/>
              <w:rPr>
                <w:rFonts w:ascii="微软雅黑" w:hAnsi="微软雅黑" w:eastAsia="微软雅黑" w:cs="微软雅黑"/>
                <w:sz w:val="24"/>
                <w:szCs w:val="24"/>
                <w:highlight w:val="none"/>
              </w:rPr>
            </w:pPr>
          </w:p>
        </w:tc>
      </w:tr>
      <w:tr w14:paraId="720CC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6F54CB4">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4C16DBB">
            <w:pPr>
              <w:spacing w:line="300" w:lineRule="exact"/>
              <w:rPr>
                <w:rFonts w:ascii="微软雅黑" w:hAnsi="微软雅黑" w:eastAsia="微软雅黑" w:cs="微软雅黑"/>
                <w:sz w:val="24"/>
                <w:szCs w:val="24"/>
                <w:highlight w:val="none"/>
              </w:rPr>
            </w:pPr>
          </w:p>
        </w:tc>
        <w:tc>
          <w:tcPr>
            <w:tcW w:w="1831" w:type="dxa"/>
            <w:noWrap w:val="0"/>
            <w:vAlign w:val="top"/>
          </w:tcPr>
          <w:p w14:paraId="629456FC">
            <w:pPr>
              <w:spacing w:line="300" w:lineRule="exact"/>
              <w:rPr>
                <w:rFonts w:ascii="微软雅黑" w:hAnsi="微软雅黑" w:eastAsia="微软雅黑" w:cs="微软雅黑"/>
                <w:sz w:val="24"/>
                <w:szCs w:val="24"/>
                <w:highlight w:val="none"/>
              </w:rPr>
            </w:pPr>
          </w:p>
        </w:tc>
        <w:tc>
          <w:tcPr>
            <w:tcW w:w="1590" w:type="dxa"/>
            <w:noWrap w:val="0"/>
            <w:vAlign w:val="top"/>
          </w:tcPr>
          <w:p w14:paraId="7E075216">
            <w:pPr>
              <w:spacing w:line="300" w:lineRule="exact"/>
              <w:rPr>
                <w:rFonts w:ascii="微软雅黑" w:hAnsi="微软雅黑" w:eastAsia="微软雅黑" w:cs="微软雅黑"/>
                <w:sz w:val="24"/>
                <w:szCs w:val="24"/>
                <w:highlight w:val="none"/>
              </w:rPr>
            </w:pPr>
          </w:p>
        </w:tc>
        <w:tc>
          <w:tcPr>
            <w:tcW w:w="2249" w:type="dxa"/>
            <w:noWrap w:val="0"/>
            <w:vAlign w:val="top"/>
          </w:tcPr>
          <w:p w14:paraId="7C3C1862">
            <w:pPr>
              <w:spacing w:line="300" w:lineRule="exact"/>
              <w:rPr>
                <w:rFonts w:ascii="微软雅黑" w:hAnsi="微软雅黑" w:eastAsia="微软雅黑" w:cs="微软雅黑"/>
                <w:sz w:val="24"/>
                <w:szCs w:val="24"/>
                <w:highlight w:val="none"/>
              </w:rPr>
            </w:pPr>
          </w:p>
        </w:tc>
        <w:tc>
          <w:tcPr>
            <w:tcW w:w="1275" w:type="dxa"/>
            <w:noWrap w:val="0"/>
            <w:vAlign w:val="top"/>
          </w:tcPr>
          <w:p w14:paraId="3CA7580E">
            <w:pPr>
              <w:spacing w:line="300" w:lineRule="exact"/>
              <w:rPr>
                <w:rFonts w:ascii="微软雅黑" w:hAnsi="微软雅黑" w:eastAsia="微软雅黑" w:cs="微软雅黑"/>
                <w:sz w:val="24"/>
                <w:szCs w:val="24"/>
                <w:highlight w:val="none"/>
              </w:rPr>
            </w:pPr>
          </w:p>
        </w:tc>
      </w:tr>
      <w:tr w14:paraId="75B0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CF3735F">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6DAC2AC2">
            <w:pPr>
              <w:spacing w:line="300" w:lineRule="exact"/>
              <w:rPr>
                <w:rFonts w:ascii="微软雅黑" w:hAnsi="微软雅黑" w:eastAsia="微软雅黑" w:cs="微软雅黑"/>
                <w:sz w:val="24"/>
                <w:szCs w:val="24"/>
                <w:highlight w:val="none"/>
              </w:rPr>
            </w:pPr>
          </w:p>
        </w:tc>
        <w:tc>
          <w:tcPr>
            <w:tcW w:w="1831" w:type="dxa"/>
            <w:noWrap w:val="0"/>
            <w:vAlign w:val="top"/>
          </w:tcPr>
          <w:p w14:paraId="3778F000">
            <w:pPr>
              <w:spacing w:line="300" w:lineRule="exact"/>
              <w:rPr>
                <w:rFonts w:ascii="微软雅黑" w:hAnsi="微软雅黑" w:eastAsia="微软雅黑" w:cs="微软雅黑"/>
                <w:sz w:val="24"/>
                <w:szCs w:val="24"/>
                <w:highlight w:val="none"/>
              </w:rPr>
            </w:pPr>
          </w:p>
        </w:tc>
        <w:tc>
          <w:tcPr>
            <w:tcW w:w="1590" w:type="dxa"/>
            <w:noWrap w:val="0"/>
            <w:vAlign w:val="top"/>
          </w:tcPr>
          <w:p w14:paraId="119DA2E9">
            <w:pPr>
              <w:spacing w:line="300" w:lineRule="exact"/>
              <w:rPr>
                <w:rFonts w:ascii="微软雅黑" w:hAnsi="微软雅黑" w:eastAsia="微软雅黑" w:cs="微软雅黑"/>
                <w:sz w:val="24"/>
                <w:szCs w:val="24"/>
                <w:highlight w:val="none"/>
              </w:rPr>
            </w:pPr>
          </w:p>
        </w:tc>
        <w:tc>
          <w:tcPr>
            <w:tcW w:w="2249" w:type="dxa"/>
            <w:noWrap w:val="0"/>
            <w:vAlign w:val="top"/>
          </w:tcPr>
          <w:p w14:paraId="4DCC3D3B">
            <w:pPr>
              <w:spacing w:line="300" w:lineRule="exact"/>
              <w:rPr>
                <w:rFonts w:ascii="微软雅黑" w:hAnsi="微软雅黑" w:eastAsia="微软雅黑" w:cs="微软雅黑"/>
                <w:sz w:val="24"/>
                <w:szCs w:val="24"/>
                <w:highlight w:val="none"/>
              </w:rPr>
            </w:pPr>
          </w:p>
        </w:tc>
        <w:tc>
          <w:tcPr>
            <w:tcW w:w="1275" w:type="dxa"/>
            <w:noWrap w:val="0"/>
            <w:vAlign w:val="top"/>
          </w:tcPr>
          <w:p w14:paraId="3C254238">
            <w:pPr>
              <w:spacing w:line="300" w:lineRule="exact"/>
              <w:rPr>
                <w:rFonts w:ascii="微软雅黑" w:hAnsi="微软雅黑" w:eastAsia="微软雅黑" w:cs="微软雅黑"/>
                <w:sz w:val="24"/>
                <w:szCs w:val="24"/>
                <w:highlight w:val="none"/>
              </w:rPr>
            </w:pPr>
          </w:p>
        </w:tc>
      </w:tr>
      <w:tr w14:paraId="3460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5C35F1D">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118A7A8F">
            <w:pPr>
              <w:spacing w:line="300" w:lineRule="exact"/>
              <w:rPr>
                <w:rFonts w:ascii="微软雅黑" w:hAnsi="微软雅黑" w:eastAsia="微软雅黑" w:cs="微软雅黑"/>
                <w:sz w:val="24"/>
                <w:szCs w:val="24"/>
                <w:highlight w:val="none"/>
              </w:rPr>
            </w:pPr>
          </w:p>
        </w:tc>
        <w:tc>
          <w:tcPr>
            <w:tcW w:w="1831" w:type="dxa"/>
            <w:noWrap w:val="0"/>
            <w:vAlign w:val="top"/>
          </w:tcPr>
          <w:p w14:paraId="7E81BD05">
            <w:pPr>
              <w:spacing w:line="300" w:lineRule="exact"/>
              <w:rPr>
                <w:rFonts w:ascii="微软雅黑" w:hAnsi="微软雅黑" w:eastAsia="微软雅黑" w:cs="微软雅黑"/>
                <w:sz w:val="24"/>
                <w:szCs w:val="24"/>
                <w:highlight w:val="none"/>
              </w:rPr>
            </w:pPr>
          </w:p>
        </w:tc>
        <w:tc>
          <w:tcPr>
            <w:tcW w:w="1590" w:type="dxa"/>
            <w:noWrap w:val="0"/>
            <w:vAlign w:val="top"/>
          </w:tcPr>
          <w:p w14:paraId="6DF349DF">
            <w:pPr>
              <w:spacing w:line="300" w:lineRule="exact"/>
              <w:rPr>
                <w:rFonts w:ascii="微软雅黑" w:hAnsi="微软雅黑" w:eastAsia="微软雅黑" w:cs="微软雅黑"/>
                <w:sz w:val="24"/>
                <w:szCs w:val="24"/>
                <w:highlight w:val="none"/>
              </w:rPr>
            </w:pPr>
          </w:p>
        </w:tc>
        <w:tc>
          <w:tcPr>
            <w:tcW w:w="2249" w:type="dxa"/>
            <w:noWrap w:val="0"/>
            <w:vAlign w:val="top"/>
          </w:tcPr>
          <w:p w14:paraId="471CB163">
            <w:pPr>
              <w:spacing w:line="300" w:lineRule="exact"/>
              <w:rPr>
                <w:rFonts w:ascii="微软雅黑" w:hAnsi="微软雅黑" w:eastAsia="微软雅黑" w:cs="微软雅黑"/>
                <w:sz w:val="24"/>
                <w:szCs w:val="24"/>
                <w:highlight w:val="none"/>
              </w:rPr>
            </w:pPr>
          </w:p>
        </w:tc>
        <w:tc>
          <w:tcPr>
            <w:tcW w:w="1275" w:type="dxa"/>
            <w:noWrap w:val="0"/>
            <w:vAlign w:val="top"/>
          </w:tcPr>
          <w:p w14:paraId="435C31BE">
            <w:pPr>
              <w:spacing w:line="300" w:lineRule="exact"/>
              <w:rPr>
                <w:rFonts w:ascii="微软雅黑" w:hAnsi="微软雅黑" w:eastAsia="微软雅黑" w:cs="微软雅黑"/>
                <w:sz w:val="24"/>
                <w:szCs w:val="24"/>
                <w:highlight w:val="none"/>
              </w:rPr>
            </w:pPr>
          </w:p>
        </w:tc>
      </w:tr>
      <w:tr w14:paraId="76EF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4568DE5">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5D093010">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51E96E88">
            <w:pPr>
              <w:spacing w:line="300" w:lineRule="exact"/>
              <w:rPr>
                <w:rFonts w:ascii="微软雅黑" w:hAnsi="微软雅黑" w:eastAsia="微软雅黑" w:cs="微软雅黑"/>
                <w:sz w:val="24"/>
                <w:szCs w:val="24"/>
                <w:highlight w:val="none"/>
              </w:rPr>
            </w:pPr>
          </w:p>
        </w:tc>
      </w:tr>
    </w:tbl>
    <w:p w14:paraId="207317E1">
      <w:pPr>
        <w:pStyle w:val="11"/>
        <w:ind w:firstLine="0"/>
        <w:rPr>
          <w:rFonts w:hint="eastAsia"/>
          <w:highlight w:val="none"/>
        </w:rPr>
      </w:pPr>
    </w:p>
    <w:p w14:paraId="622958C9">
      <w:pPr>
        <w:keepNext w:val="0"/>
        <w:keepLines w:val="0"/>
        <w:pageBreakBefore w:val="0"/>
        <w:widowControl w:val="0"/>
        <w:kinsoku/>
        <w:wordWrap/>
        <w:overflowPunct/>
        <w:topLinePunct w:val="0"/>
        <w:autoSpaceDE/>
        <w:autoSpaceDN/>
        <w:bidi w:val="0"/>
        <w:adjustRightInd/>
        <w:snapToGrid w:val="0"/>
        <w:spacing w:line="500" w:lineRule="exact"/>
        <w:ind w:firstLine="834" w:firstLineChars="300"/>
        <w:textAlignment w:val="auto"/>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629A6BAE">
      <w:pPr>
        <w:keepNext w:val="0"/>
        <w:keepLines w:val="0"/>
        <w:pageBreakBefore w:val="0"/>
        <w:widowControl w:val="0"/>
        <w:kinsoku/>
        <w:wordWrap/>
        <w:overflowPunct/>
        <w:topLinePunct w:val="0"/>
        <w:autoSpaceDE/>
        <w:autoSpaceDN/>
        <w:bidi w:val="0"/>
        <w:adjustRightInd/>
        <w:snapToGrid w:val="0"/>
        <w:spacing w:line="500" w:lineRule="exact"/>
        <w:ind w:left="804" w:leftChars="428" w:firstLine="834" w:firstLineChars="300"/>
        <w:textAlignment w:val="auto"/>
        <w:rPr>
          <w:rFonts w:hint="eastAsia"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424458ED">
      <w:pPr>
        <w:spacing w:line="600" w:lineRule="exact"/>
        <w:ind w:firstLine="556" w:firstLineChars="200"/>
        <w:rPr>
          <w:rFonts w:ascii="微软雅黑" w:hAnsi="微软雅黑" w:eastAsia="微软雅黑" w:cs="微软雅黑"/>
          <w:sz w:val="30"/>
          <w:szCs w:val="30"/>
          <w:highlight w:val="none"/>
        </w:rPr>
      </w:pPr>
    </w:p>
    <w:p w14:paraId="784D32EF">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5C16CCEC">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2AFFCFD4">
      <w:pPr>
        <w:rPr>
          <w:rFonts w:hint="eastAsia" w:ascii="微软雅黑" w:hAnsi="微软雅黑" w:eastAsia="微软雅黑"/>
          <w:b/>
          <w:bCs/>
          <w:sz w:val="32"/>
          <w:szCs w:val="32"/>
          <w:highlight w:val="none"/>
        </w:rPr>
      </w:pPr>
    </w:p>
    <w:p w14:paraId="3E8520A3">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56528B41">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3786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044651E">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19DF90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A24CEE2">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3D83A4D">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47B4A0A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C1DE950">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55CF5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F234F4">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A86C1E0">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BBAAADC">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A87C27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75BF83D">
            <w:pPr>
              <w:spacing w:line="594" w:lineRule="exact"/>
              <w:rPr>
                <w:rFonts w:hint="eastAsia" w:ascii="方正仿宋_GBK" w:eastAsia="方正仿宋_GBK"/>
                <w:sz w:val="30"/>
                <w:szCs w:val="30"/>
                <w:highlight w:val="none"/>
              </w:rPr>
            </w:pPr>
          </w:p>
        </w:tc>
      </w:tr>
      <w:tr w14:paraId="5F9F3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5D9BF4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F73F25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65611A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F60CDDE">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1C07025">
            <w:pPr>
              <w:spacing w:line="594" w:lineRule="exact"/>
              <w:ind w:firstLine="556" w:firstLineChars="200"/>
              <w:rPr>
                <w:rFonts w:hint="eastAsia" w:ascii="方正仿宋_GBK" w:eastAsia="方正仿宋_GBK"/>
                <w:sz w:val="30"/>
                <w:szCs w:val="30"/>
                <w:highlight w:val="none"/>
              </w:rPr>
            </w:pPr>
          </w:p>
        </w:tc>
      </w:tr>
      <w:tr w14:paraId="086D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AD52374">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FE2853A">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664C80AC">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7B70E18">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A98D265">
            <w:pPr>
              <w:spacing w:line="594" w:lineRule="exact"/>
              <w:ind w:firstLine="556" w:firstLineChars="200"/>
              <w:rPr>
                <w:rFonts w:hint="eastAsia" w:ascii="方正仿宋_GBK" w:eastAsia="方正仿宋_GBK"/>
                <w:sz w:val="30"/>
                <w:szCs w:val="30"/>
                <w:highlight w:val="none"/>
              </w:rPr>
            </w:pPr>
          </w:p>
        </w:tc>
      </w:tr>
      <w:tr w14:paraId="0DE3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6290F9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2148A5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C8707C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BB99700">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8E9BF3A">
            <w:pPr>
              <w:spacing w:line="594" w:lineRule="exact"/>
              <w:ind w:firstLine="556" w:firstLineChars="200"/>
              <w:rPr>
                <w:rFonts w:hint="eastAsia" w:ascii="方正仿宋_GBK" w:eastAsia="方正仿宋_GBK"/>
                <w:sz w:val="30"/>
                <w:szCs w:val="30"/>
                <w:highlight w:val="none"/>
              </w:rPr>
            </w:pPr>
          </w:p>
        </w:tc>
      </w:tr>
      <w:tr w14:paraId="26A49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169305F">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92EFE6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EDDFD74">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4A36C24">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9E57AC9">
            <w:pPr>
              <w:spacing w:line="594" w:lineRule="exact"/>
              <w:ind w:firstLine="556" w:firstLineChars="200"/>
              <w:rPr>
                <w:rFonts w:hint="eastAsia" w:ascii="方正仿宋_GBK" w:eastAsia="方正仿宋_GBK"/>
                <w:sz w:val="30"/>
                <w:szCs w:val="30"/>
                <w:highlight w:val="none"/>
              </w:rPr>
            </w:pPr>
          </w:p>
        </w:tc>
      </w:tr>
      <w:tr w14:paraId="27EB8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51FECB1">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D9FE00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57AED8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6EBE1BA">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12C7FE0A">
            <w:pPr>
              <w:spacing w:line="594" w:lineRule="exact"/>
              <w:ind w:firstLine="556" w:firstLineChars="200"/>
              <w:rPr>
                <w:rFonts w:hint="eastAsia" w:ascii="方正仿宋_GBK" w:eastAsia="方正仿宋_GBK"/>
                <w:sz w:val="30"/>
                <w:szCs w:val="30"/>
                <w:highlight w:val="none"/>
              </w:rPr>
            </w:pPr>
          </w:p>
        </w:tc>
      </w:tr>
      <w:tr w14:paraId="59DED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30C92D6">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EC268CE">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E636C1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9789468">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4148D81">
            <w:pPr>
              <w:spacing w:line="594" w:lineRule="exact"/>
              <w:ind w:firstLine="556" w:firstLineChars="200"/>
              <w:rPr>
                <w:rFonts w:hint="eastAsia" w:ascii="方正仿宋_GBK" w:eastAsia="方正仿宋_GBK"/>
                <w:sz w:val="30"/>
                <w:szCs w:val="30"/>
                <w:highlight w:val="none"/>
              </w:rPr>
            </w:pPr>
          </w:p>
        </w:tc>
      </w:tr>
      <w:tr w14:paraId="007FB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7F99362">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DF4A44B">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3C5F12">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7E6963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33E297B">
            <w:pPr>
              <w:spacing w:line="594" w:lineRule="exact"/>
              <w:ind w:firstLine="556" w:firstLineChars="200"/>
              <w:rPr>
                <w:rFonts w:hint="eastAsia" w:ascii="方正仿宋_GBK" w:eastAsia="方正仿宋_GBK"/>
                <w:sz w:val="30"/>
                <w:szCs w:val="30"/>
                <w:highlight w:val="none"/>
              </w:rPr>
            </w:pPr>
          </w:p>
        </w:tc>
      </w:tr>
      <w:tr w14:paraId="141BF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1F68256">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941EA2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89B92BE">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B4B3C0E">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766258A">
            <w:pPr>
              <w:spacing w:line="594" w:lineRule="exact"/>
              <w:ind w:firstLine="556" w:firstLineChars="200"/>
              <w:rPr>
                <w:rFonts w:hint="eastAsia" w:ascii="方正仿宋_GBK" w:eastAsia="方正仿宋_GBK"/>
                <w:sz w:val="30"/>
                <w:szCs w:val="30"/>
                <w:highlight w:val="none"/>
              </w:rPr>
            </w:pPr>
          </w:p>
        </w:tc>
      </w:tr>
      <w:tr w14:paraId="7B5F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752FCF4">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4DD6AE1">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1865C85">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ACEF4C8">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CAB823">
            <w:pPr>
              <w:spacing w:line="594" w:lineRule="exact"/>
              <w:ind w:firstLine="556" w:firstLineChars="200"/>
              <w:rPr>
                <w:rFonts w:hint="eastAsia" w:ascii="方正仿宋_GBK" w:eastAsia="方正仿宋_GBK"/>
                <w:sz w:val="30"/>
                <w:szCs w:val="30"/>
                <w:highlight w:val="none"/>
              </w:rPr>
            </w:pPr>
          </w:p>
        </w:tc>
      </w:tr>
    </w:tbl>
    <w:p w14:paraId="0579B44A">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7C1B1EE5">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06F3B143">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DCD8985">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1826A3FA">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4.响应文件具体响应情况请注明产品自身技术参数或具体内容，不得照搬参数需求内容，否则视为无效响应；佐证材料对应页码的对应位置应用下划线标注出来，否则视为无效响应。</w:t>
      </w:r>
    </w:p>
    <w:p w14:paraId="3029EC60">
      <w:pPr>
        <w:numPr>
          <w:ilvl w:val="0"/>
          <w:numId w:val="0"/>
        </w:numPr>
        <w:spacing w:line="594" w:lineRule="exact"/>
        <w:rPr>
          <w:rFonts w:hint="default"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技术参数对应的佐证材料</w:t>
      </w:r>
    </w:p>
    <w:p w14:paraId="306ACC3D">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045A7CA2">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69C7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610C0C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F5EB27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CEA9AF8">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5D0119B">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6DC34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F4AB824">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C0E40B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EF1EA5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0D71DAA">
            <w:pPr>
              <w:spacing w:line="594" w:lineRule="exact"/>
              <w:ind w:firstLine="556" w:firstLineChars="200"/>
              <w:rPr>
                <w:rFonts w:hint="eastAsia" w:ascii="微软雅黑" w:hAnsi="微软雅黑" w:eastAsia="微软雅黑"/>
                <w:sz w:val="30"/>
                <w:szCs w:val="30"/>
                <w:highlight w:val="none"/>
              </w:rPr>
            </w:pPr>
          </w:p>
        </w:tc>
      </w:tr>
      <w:tr w14:paraId="2915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223172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0B718C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3E47A7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3FB87DA">
            <w:pPr>
              <w:spacing w:line="594" w:lineRule="exact"/>
              <w:ind w:firstLine="556" w:firstLineChars="200"/>
              <w:rPr>
                <w:rFonts w:hint="eastAsia" w:ascii="微软雅黑" w:hAnsi="微软雅黑" w:eastAsia="微软雅黑"/>
                <w:sz w:val="30"/>
                <w:szCs w:val="30"/>
                <w:highlight w:val="none"/>
              </w:rPr>
            </w:pPr>
          </w:p>
        </w:tc>
      </w:tr>
      <w:tr w14:paraId="002C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DE5F678">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合同及交付期限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F27415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674EE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3F29435">
            <w:pPr>
              <w:spacing w:line="594" w:lineRule="exact"/>
              <w:ind w:firstLine="556" w:firstLineChars="200"/>
              <w:rPr>
                <w:rFonts w:hint="eastAsia" w:ascii="微软雅黑" w:hAnsi="微软雅黑" w:eastAsia="微软雅黑"/>
                <w:sz w:val="30"/>
                <w:szCs w:val="30"/>
                <w:highlight w:val="none"/>
              </w:rPr>
            </w:pPr>
          </w:p>
        </w:tc>
      </w:tr>
      <w:tr w14:paraId="39D2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3699D29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付款方式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5F2800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B2CD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FDCC49D">
            <w:pPr>
              <w:spacing w:line="594" w:lineRule="exact"/>
              <w:ind w:firstLine="556" w:firstLineChars="200"/>
              <w:rPr>
                <w:rFonts w:hint="eastAsia" w:ascii="微软雅黑" w:hAnsi="微软雅黑" w:eastAsia="微软雅黑"/>
                <w:sz w:val="30"/>
                <w:szCs w:val="30"/>
                <w:highlight w:val="none"/>
              </w:rPr>
            </w:pPr>
          </w:p>
        </w:tc>
      </w:tr>
      <w:tr w14:paraId="0A5C0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D80B7E8">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验收方案</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737F98B">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E4114F3">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3DC320C">
            <w:pPr>
              <w:spacing w:line="594" w:lineRule="exact"/>
              <w:ind w:firstLine="556" w:firstLineChars="200"/>
              <w:rPr>
                <w:rFonts w:hint="eastAsia" w:ascii="微软雅黑" w:hAnsi="微软雅黑" w:eastAsia="微软雅黑"/>
                <w:sz w:val="30"/>
                <w:szCs w:val="30"/>
                <w:highlight w:val="none"/>
              </w:rPr>
            </w:pPr>
          </w:p>
        </w:tc>
      </w:tr>
      <w:tr w14:paraId="57051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23E4062B">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售后服务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86ACDD7">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D8055F2">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7CEB563">
            <w:pPr>
              <w:spacing w:line="594" w:lineRule="exact"/>
              <w:ind w:firstLine="556" w:firstLineChars="200"/>
              <w:rPr>
                <w:rFonts w:hint="eastAsia" w:ascii="微软雅黑" w:hAnsi="微软雅黑" w:eastAsia="微软雅黑"/>
                <w:sz w:val="30"/>
                <w:szCs w:val="30"/>
                <w:highlight w:val="none"/>
              </w:rPr>
            </w:pPr>
          </w:p>
        </w:tc>
      </w:tr>
      <w:tr w14:paraId="7CF5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4ECADA7">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投标保证金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471EBF9">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56EAE48">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7DDA75A">
            <w:pPr>
              <w:spacing w:line="594" w:lineRule="exact"/>
              <w:ind w:firstLine="556" w:firstLineChars="200"/>
              <w:rPr>
                <w:rFonts w:hint="eastAsia" w:ascii="微软雅黑" w:hAnsi="微软雅黑" w:eastAsia="微软雅黑"/>
                <w:sz w:val="30"/>
                <w:szCs w:val="30"/>
                <w:highlight w:val="none"/>
              </w:rPr>
            </w:pPr>
          </w:p>
        </w:tc>
      </w:tr>
      <w:tr w14:paraId="62E5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37F99C15">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履约保证金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D4D89F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EE9EBF2">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A2FE22C">
            <w:pPr>
              <w:spacing w:line="594" w:lineRule="exact"/>
              <w:ind w:firstLine="556" w:firstLineChars="200"/>
              <w:rPr>
                <w:rFonts w:hint="eastAsia" w:ascii="微软雅黑" w:hAnsi="微软雅黑" w:eastAsia="微软雅黑"/>
                <w:sz w:val="30"/>
                <w:szCs w:val="30"/>
                <w:highlight w:val="none"/>
              </w:rPr>
            </w:pPr>
          </w:p>
        </w:tc>
      </w:tr>
      <w:tr w14:paraId="14AA6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35261F">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E29587F">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E74433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1832EDC">
            <w:pPr>
              <w:spacing w:line="594" w:lineRule="exact"/>
              <w:ind w:firstLine="556" w:firstLineChars="200"/>
              <w:rPr>
                <w:rFonts w:hint="eastAsia" w:ascii="微软雅黑" w:hAnsi="微软雅黑" w:eastAsia="微软雅黑"/>
                <w:sz w:val="30"/>
                <w:szCs w:val="30"/>
                <w:highlight w:val="none"/>
              </w:rPr>
            </w:pPr>
          </w:p>
        </w:tc>
      </w:tr>
      <w:tr w14:paraId="51B95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2B3576">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0A9D80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5750379">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EC12712">
            <w:pPr>
              <w:spacing w:line="594" w:lineRule="exact"/>
              <w:ind w:firstLine="556" w:firstLineChars="200"/>
              <w:rPr>
                <w:rFonts w:hint="eastAsia" w:ascii="微软雅黑" w:hAnsi="微软雅黑" w:eastAsia="微软雅黑"/>
                <w:sz w:val="30"/>
                <w:szCs w:val="30"/>
                <w:highlight w:val="none"/>
              </w:rPr>
            </w:pPr>
          </w:p>
        </w:tc>
      </w:tr>
    </w:tbl>
    <w:p w14:paraId="1132E4D2">
      <w:pPr>
        <w:spacing w:line="594" w:lineRule="exact"/>
        <w:ind w:firstLine="556" w:firstLineChars="200"/>
        <w:rPr>
          <w:rFonts w:hint="default" w:ascii="方正仿宋_GBK" w:eastAsia="微软雅黑"/>
          <w:sz w:val="32"/>
          <w:szCs w:val="32"/>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lang w:val="en-US" w:eastAsia="zh-CN"/>
        </w:rPr>
        <w:t>按照采购人全部商务要求逐条响应，</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响应内容不得完全照搬采购人要求，如采购人商务要求质保≥3年，供应商响应必须明确具体质保年限。</w:t>
      </w:r>
    </w:p>
    <w:p w14:paraId="292EAF23">
      <w:pPr>
        <w:spacing w:line="594" w:lineRule="exact"/>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bCs/>
          <w:sz w:val="32"/>
          <w:szCs w:val="32"/>
          <w:highlight w:val="none"/>
          <w:lang w:val="en-US" w:eastAsia="zh-CN"/>
        </w:rPr>
        <w:t>本产品其他采购人的业绩资料</w:t>
      </w:r>
    </w:p>
    <w:p w14:paraId="5DA86A85">
      <w:pPr>
        <w:spacing w:line="594" w:lineRule="exact"/>
        <w:rPr>
          <w:rFonts w:hint="eastAsia" w:ascii="微软雅黑" w:hAnsi="微软雅黑" w:eastAsia="微软雅黑"/>
          <w:b/>
          <w:bCs/>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bCs/>
          <w:color w:val="auto"/>
          <w:sz w:val="32"/>
          <w:szCs w:val="32"/>
          <w:highlight w:val="none"/>
          <w:lang w:val="en-US" w:eastAsia="zh-CN"/>
        </w:rPr>
        <w:t>其他可以证明投标人有能力完成本项目的佐证材料（如供应商简介、本项目人员安排、生产厂家或代理商授权等）</w:t>
      </w:r>
    </w:p>
    <w:p w14:paraId="0ED80954">
      <w:pPr>
        <w:rPr>
          <w:rFonts w:hint="eastAsia" w:ascii="仿宋_GB2312" w:eastAsia="仿宋_GB2312"/>
          <w:b/>
          <w:snapToGrid w:val="0"/>
          <w:color w:val="auto"/>
          <w:kern w:val="0"/>
          <w:sz w:val="28"/>
          <w:szCs w:val="28"/>
          <w:highlight w:val="none"/>
          <w:lang w:val="en-US" w:eastAsia="zh-CN"/>
        </w:rPr>
      </w:pPr>
      <w:r>
        <w:rPr>
          <w:rFonts w:hint="eastAsia" w:ascii="微软雅黑" w:hAnsi="微软雅黑" w:eastAsia="微软雅黑"/>
          <w:b/>
          <w:bCs/>
          <w:sz w:val="32"/>
          <w:szCs w:val="32"/>
          <w:highlight w:val="none"/>
          <w:lang w:val="en-US" w:eastAsia="zh-CN"/>
        </w:rPr>
        <w:t>供应商自愿提供其他资料</w:t>
      </w:r>
      <w:r>
        <w:rPr>
          <w:rFonts w:hint="eastAsia" w:ascii="仿宋_GB2312" w:eastAsia="仿宋_GB2312"/>
          <w:b/>
          <w:snapToGrid w:val="0"/>
          <w:color w:val="auto"/>
          <w:kern w:val="0"/>
          <w:sz w:val="28"/>
          <w:szCs w:val="28"/>
          <w:highlight w:val="none"/>
          <w:lang w:val="en-US" w:eastAsia="zh-CN"/>
        </w:rPr>
        <w:br w:type="page"/>
      </w:r>
    </w:p>
    <w:p w14:paraId="7A035E06">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售后服务承诺</w:t>
      </w:r>
    </w:p>
    <w:p w14:paraId="4EBBC6B8">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0A160B1">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0F2552EA">
      <w:pPr>
        <w:rPr>
          <w:rFonts w:hint="eastAsia" w:ascii="仿宋_GB2312" w:eastAsia="仿宋_GB2312" w:cs="宋体"/>
          <w:color w:val="auto"/>
          <w:sz w:val="32"/>
          <w:szCs w:val="32"/>
          <w:highlight w:val="none"/>
          <w:lang w:val="en-US" w:eastAsia="zh-CN"/>
        </w:rPr>
      </w:pPr>
    </w:p>
    <w:p w14:paraId="2CA2AECD">
      <w:pPr>
        <w:rPr>
          <w:rFonts w:hint="eastAsia" w:ascii="仿宋_GB2312" w:hAnsi="宋体" w:eastAsia="仿宋_GB2312"/>
          <w:b/>
          <w:snapToGrid w:val="0"/>
          <w:color w:val="auto"/>
          <w:kern w:val="0"/>
          <w:sz w:val="40"/>
          <w:szCs w:val="28"/>
          <w:highlight w:val="none"/>
          <w:lang w:val="en-US" w:eastAsia="zh-CN"/>
        </w:rPr>
      </w:pPr>
    </w:p>
    <w:p w14:paraId="7DD8B801">
      <w:pPr>
        <w:rPr>
          <w:rFonts w:hint="eastAsia" w:ascii="仿宋_GB2312" w:hAnsi="宋体" w:eastAsia="仿宋_GB2312"/>
          <w:b/>
          <w:snapToGrid w:val="0"/>
          <w:color w:val="auto"/>
          <w:kern w:val="0"/>
          <w:sz w:val="40"/>
          <w:szCs w:val="28"/>
          <w:highlight w:val="none"/>
          <w:lang w:val="en-US" w:eastAsia="zh-CN"/>
        </w:rPr>
      </w:pPr>
    </w:p>
    <w:p w14:paraId="035C372B">
      <w:pPr>
        <w:rPr>
          <w:rFonts w:hint="eastAsia" w:ascii="仿宋_GB2312" w:hAnsi="宋体" w:eastAsia="仿宋_GB2312"/>
          <w:b/>
          <w:snapToGrid w:val="0"/>
          <w:color w:val="auto"/>
          <w:kern w:val="0"/>
          <w:sz w:val="40"/>
          <w:szCs w:val="28"/>
          <w:highlight w:val="none"/>
          <w:lang w:val="en-US" w:eastAsia="zh-CN"/>
        </w:rPr>
      </w:pPr>
    </w:p>
    <w:p w14:paraId="04F93E02">
      <w:pPr>
        <w:rPr>
          <w:rFonts w:hint="eastAsia" w:ascii="仿宋_GB2312" w:hAnsi="宋体" w:eastAsia="仿宋_GB2312"/>
          <w:b/>
          <w:snapToGrid w:val="0"/>
          <w:color w:val="auto"/>
          <w:kern w:val="0"/>
          <w:sz w:val="40"/>
          <w:szCs w:val="28"/>
          <w:highlight w:val="none"/>
          <w:lang w:val="en-US" w:eastAsia="zh-CN"/>
        </w:rPr>
      </w:pPr>
    </w:p>
    <w:p w14:paraId="74FD49D6">
      <w:pPr>
        <w:rPr>
          <w:rFonts w:hint="eastAsia" w:ascii="仿宋_GB2312" w:hAnsi="宋体" w:eastAsia="仿宋_GB2312"/>
          <w:b/>
          <w:snapToGrid w:val="0"/>
          <w:color w:val="auto"/>
          <w:kern w:val="0"/>
          <w:sz w:val="40"/>
          <w:szCs w:val="28"/>
          <w:highlight w:val="none"/>
          <w:lang w:val="en-US" w:eastAsia="zh-CN"/>
        </w:rPr>
      </w:pPr>
    </w:p>
    <w:p w14:paraId="3AAFA462">
      <w:pPr>
        <w:rPr>
          <w:rFonts w:hint="eastAsia" w:ascii="仿宋_GB2312" w:hAnsi="宋体" w:eastAsia="仿宋_GB2312"/>
          <w:b/>
          <w:snapToGrid w:val="0"/>
          <w:color w:val="auto"/>
          <w:kern w:val="0"/>
          <w:sz w:val="40"/>
          <w:szCs w:val="28"/>
          <w:highlight w:val="none"/>
          <w:lang w:val="en-US" w:eastAsia="zh-CN"/>
        </w:rPr>
      </w:pPr>
    </w:p>
    <w:p w14:paraId="2EE44CB0">
      <w:pPr>
        <w:rPr>
          <w:rFonts w:hint="eastAsia" w:ascii="仿宋_GB2312" w:hAnsi="宋体" w:eastAsia="仿宋_GB2312"/>
          <w:b/>
          <w:snapToGrid w:val="0"/>
          <w:color w:val="auto"/>
          <w:kern w:val="0"/>
          <w:sz w:val="40"/>
          <w:szCs w:val="28"/>
          <w:highlight w:val="none"/>
          <w:lang w:val="en-US" w:eastAsia="zh-CN"/>
        </w:rPr>
      </w:pPr>
    </w:p>
    <w:p w14:paraId="3C7482B2">
      <w:pPr>
        <w:rPr>
          <w:rFonts w:hint="eastAsia" w:ascii="仿宋_GB2312" w:hAnsi="宋体" w:eastAsia="仿宋_GB2312"/>
          <w:b/>
          <w:snapToGrid w:val="0"/>
          <w:color w:val="auto"/>
          <w:kern w:val="0"/>
          <w:sz w:val="40"/>
          <w:szCs w:val="28"/>
          <w:highlight w:val="none"/>
          <w:lang w:val="en-US" w:eastAsia="zh-CN"/>
        </w:rPr>
      </w:pPr>
    </w:p>
    <w:p w14:paraId="29C9248C">
      <w:pPr>
        <w:rPr>
          <w:rFonts w:hint="eastAsia" w:ascii="仿宋_GB2312" w:hAnsi="宋体" w:eastAsia="仿宋_GB2312"/>
          <w:b/>
          <w:snapToGrid w:val="0"/>
          <w:color w:val="auto"/>
          <w:kern w:val="0"/>
          <w:sz w:val="40"/>
          <w:szCs w:val="28"/>
          <w:highlight w:val="none"/>
          <w:lang w:val="en-US" w:eastAsia="zh-CN"/>
        </w:rPr>
      </w:pPr>
    </w:p>
    <w:p w14:paraId="4D86ED7A">
      <w:pPr>
        <w:rPr>
          <w:rFonts w:hint="eastAsia" w:ascii="仿宋_GB2312" w:hAnsi="宋体" w:eastAsia="仿宋_GB2312"/>
          <w:b/>
          <w:snapToGrid w:val="0"/>
          <w:color w:val="auto"/>
          <w:kern w:val="0"/>
          <w:sz w:val="40"/>
          <w:szCs w:val="28"/>
          <w:highlight w:val="none"/>
          <w:lang w:val="en-US" w:eastAsia="zh-CN"/>
        </w:rPr>
      </w:pPr>
    </w:p>
    <w:p w14:paraId="1BC7359F">
      <w:pPr>
        <w:rPr>
          <w:rFonts w:hint="eastAsia" w:ascii="仿宋_GB2312" w:hAnsi="宋体" w:eastAsia="仿宋_GB2312"/>
          <w:b/>
          <w:snapToGrid w:val="0"/>
          <w:color w:val="auto"/>
          <w:kern w:val="0"/>
          <w:sz w:val="40"/>
          <w:szCs w:val="28"/>
          <w:highlight w:val="none"/>
          <w:lang w:val="en-US" w:eastAsia="zh-CN"/>
        </w:rPr>
      </w:pPr>
    </w:p>
    <w:p w14:paraId="545651C8">
      <w:pPr>
        <w:rPr>
          <w:rFonts w:hint="eastAsia" w:ascii="仿宋_GB2312" w:hAnsi="宋体" w:eastAsia="仿宋_GB2312"/>
          <w:b/>
          <w:snapToGrid w:val="0"/>
          <w:color w:val="auto"/>
          <w:kern w:val="0"/>
          <w:sz w:val="40"/>
          <w:szCs w:val="28"/>
          <w:highlight w:val="none"/>
          <w:lang w:val="en-US" w:eastAsia="zh-CN"/>
        </w:rPr>
      </w:pPr>
    </w:p>
    <w:p w14:paraId="140E1731">
      <w:pPr>
        <w:rPr>
          <w:rFonts w:hint="eastAsia" w:ascii="仿宋_GB2312" w:hAnsi="宋体" w:eastAsia="仿宋_GB2312"/>
          <w:b/>
          <w:snapToGrid w:val="0"/>
          <w:color w:val="auto"/>
          <w:kern w:val="0"/>
          <w:sz w:val="40"/>
          <w:szCs w:val="28"/>
          <w:highlight w:val="none"/>
          <w:lang w:val="en-US" w:eastAsia="zh-CN"/>
        </w:rPr>
      </w:pPr>
    </w:p>
    <w:p w14:paraId="018224EA">
      <w:pPr>
        <w:rPr>
          <w:rFonts w:hint="eastAsia" w:ascii="仿宋_GB2312" w:hAnsi="宋体" w:eastAsia="仿宋_GB2312"/>
          <w:b/>
          <w:snapToGrid w:val="0"/>
          <w:color w:val="auto"/>
          <w:kern w:val="0"/>
          <w:sz w:val="40"/>
          <w:szCs w:val="28"/>
          <w:highlight w:val="none"/>
          <w:lang w:val="en-US" w:eastAsia="zh-CN"/>
        </w:rPr>
      </w:pPr>
    </w:p>
    <w:p w14:paraId="71B7B348">
      <w:pPr>
        <w:rPr>
          <w:rFonts w:hint="eastAsia" w:ascii="仿宋_GB2312" w:hAnsi="宋体" w:eastAsia="仿宋_GB2312"/>
          <w:b/>
          <w:snapToGrid w:val="0"/>
          <w:color w:val="auto"/>
          <w:kern w:val="0"/>
          <w:sz w:val="40"/>
          <w:szCs w:val="28"/>
          <w:highlight w:val="none"/>
          <w:lang w:val="en-US" w:eastAsia="zh-CN"/>
        </w:rPr>
      </w:pPr>
    </w:p>
    <w:p w14:paraId="746CF4DC">
      <w:pPr>
        <w:rPr>
          <w:rFonts w:hint="eastAsia" w:ascii="仿宋_GB2312" w:hAnsi="宋体" w:eastAsia="仿宋_GB2312"/>
          <w:b/>
          <w:snapToGrid w:val="0"/>
          <w:color w:val="auto"/>
          <w:kern w:val="0"/>
          <w:sz w:val="40"/>
          <w:szCs w:val="28"/>
          <w:highlight w:val="none"/>
          <w:lang w:val="en-US" w:eastAsia="zh-CN"/>
        </w:rPr>
      </w:pPr>
    </w:p>
    <w:p w14:paraId="6C33CC99">
      <w:pPr>
        <w:rPr>
          <w:rFonts w:hint="eastAsia" w:ascii="仿宋_GB2312" w:hAnsi="宋体" w:eastAsia="仿宋_GB2312"/>
          <w:b/>
          <w:snapToGrid w:val="0"/>
          <w:color w:val="auto"/>
          <w:kern w:val="0"/>
          <w:sz w:val="40"/>
          <w:szCs w:val="28"/>
          <w:highlight w:val="none"/>
          <w:lang w:val="en-US" w:eastAsia="zh-CN"/>
        </w:rPr>
      </w:pPr>
    </w:p>
    <w:p w14:paraId="01B80C57">
      <w:pPr>
        <w:pStyle w:val="5"/>
        <w:jc w:val="center"/>
        <w:rPr>
          <w:rFonts w:hint="eastAsia" w:ascii="仿宋_GB2312" w:hAnsi="宋体" w:eastAsia="仿宋_GB2312"/>
          <w:b/>
          <w:snapToGrid w:val="0"/>
          <w:color w:val="auto"/>
          <w:kern w:val="0"/>
          <w:sz w:val="40"/>
          <w:szCs w:val="28"/>
          <w:highlight w:val="none"/>
          <w:lang w:val="en-US" w:eastAsia="zh-CN"/>
        </w:rPr>
      </w:pPr>
    </w:p>
    <w:p w14:paraId="4D22E915">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2C7018A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0AF9ACD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1A559EB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278CF8B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26FA9BD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49CBA27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25BBB2E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13B5ACD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53FC1DA9">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5C1BE5E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2C6B69C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10F7BE5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6902565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74C718C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005DAA17">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11234232">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11D9A838">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5632BE8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0833F476">
      <w:pPr>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D58D21F8"/>
    <w:multiLevelType w:val="singleLevel"/>
    <w:tmpl w:val="D58D21F8"/>
    <w:lvl w:ilvl="0" w:tentative="0">
      <w:start w:val="8"/>
      <w:numFmt w:val="chineseCounting"/>
      <w:suff w:val="nothing"/>
      <w:lvlText w:val="（%1）"/>
      <w:lvlJc w:val="left"/>
      <w:rPr>
        <w:rFonts w:hint="eastAsia"/>
      </w:rPr>
    </w:lvl>
  </w:abstractNum>
  <w:abstractNum w:abstractNumId="3">
    <w:nsid w:val="03D44DB3"/>
    <w:multiLevelType w:val="singleLevel"/>
    <w:tmpl w:val="03D44DB3"/>
    <w:lvl w:ilvl="0" w:tentative="0">
      <w:start w:val="1"/>
      <w:numFmt w:val="decimal"/>
      <w:suff w:val="nothing"/>
      <w:lvlText w:val="（%1）"/>
      <w:lvlJc w:val="left"/>
    </w:lvl>
  </w:abstractNum>
  <w:abstractNum w:abstractNumId="4">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6194328B"/>
    <w:multiLevelType w:val="singleLevel"/>
    <w:tmpl w:val="6194328B"/>
    <w:lvl w:ilvl="0" w:tentative="0">
      <w:start w:val="6"/>
      <w:numFmt w:val="chineseCounting"/>
      <w:suff w:val="nothing"/>
      <w:lvlText w:val="（%1）"/>
      <w:lvlJc w:val="left"/>
      <w:rPr>
        <w:rFonts w:hint="eastAsia"/>
      </w:rPr>
    </w:lvl>
  </w:abstractNum>
  <w:abstractNum w:abstractNumId="6">
    <w:nsid w:val="635E116B"/>
    <w:multiLevelType w:val="singleLevel"/>
    <w:tmpl w:val="635E116B"/>
    <w:lvl w:ilvl="0" w:tentative="0">
      <w:start w:val="2"/>
      <w:numFmt w:val="chineseCounting"/>
      <w:suff w:val="nothing"/>
      <w:lvlText w:val="%1、"/>
      <w:lvlJc w:val="left"/>
      <w:rPr>
        <w:rFonts w:hint="eastAsia"/>
      </w:rPr>
    </w:lvl>
  </w:abstractNum>
  <w:abstractNum w:abstractNumId="7">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4"/>
  </w:num>
  <w:num w:numId="2">
    <w:abstractNumId w:val="7"/>
  </w:num>
  <w:num w:numId="3">
    <w:abstractNumId w:val="6"/>
  </w:num>
  <w:num w:numId="4">
    <w:abstractNumId w:val="5"/>
  </w:num>
  <w:num w:numId="5">
    <w:abstractNumId w:val="3"/>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ODgwNTE0MzQyZDQ3ZGFhYzJhNTRjYjQ3MzkxMzkifQ=="/>
  </w:docVars>
  <w:rsids>
    <w:rsidRoot w:val="00000000"/>
    <w:rsid w:val="000A5C6E"/>
    <w:rsid w:val="00BB6D7D"/>
    <w:rsid w:val="014A6652"/>
    <w:rsid w:val="015B6D6E"/>
    <w:rsid w:val="027111C2"/>
    <w:rsid w:val="03404493"/>
    <w:rsid w:val="03C22F64"/>
    <w:rsid w:val="03CE68FB"/>
    <w:rsid w:val="041961A8"/>
    <w:rsid w:val="042E0790"/>
    <w:rsid w:val="04C70F47"/>
    <w:rsid w:val="04E723E0"/>
    <w:rsid w:val="052A5AE8"/>
    <w:rsid w:val="053E0EA6"/>
    <w:rsid w:val="056E5276"/>
    <w:rsid w:val="058D14E6"/>
    <w:rsid w:val="05ED287B"/>
    <w:rsid w:val="06FB539B"/>
    <w:rsid w:val="076E4620"/>
    <w:rsid w:val="07F82B6D"/>
    <w:rsid w:val="08BF2007"/>
    <w:rsid w:val="090305CD"/>
    <w:rsid w:val="09046655"/>
    <w:rsid w:val="098E4DDC"/>
    <w:rsid w:val="0A6144FC"/>
    <w:rsid w:val="0A911A78"/>
    <w:rsid w:val="0B7A2227"/>
    <w:rsid w:val="0B993AA9"/>
    <w:rsid w:val="0C714BCF"/>
    <w:rsid w:val="0C872834"/>
    <w:rsid w:val="0C974041"/>
    <w:rsid w:val="0CE64C8D"/>
    <w:rsid w:val="0D026C5D"/>
    <w:rsid w:val="0D0C6C6B"/>
    <w:rsid w:val="0D1904D8"/>
    <w:rsid w:val="0D7D2DB9"/>
    <w:rsid w:val="0DF02F5A"/>
    <w:rsid w:val="0E0335B9"/>
    <w:rsid w:val="0E440BB0"/>
    <w:rsid w:val="0E6637FD"/>
    <w:rsid w:val="0E6753E5"/>
    <w:rsid w:val="0E9F1F75"/>
    <w:rsid w:val="0EAE2BD9"/>
    <w:rsid w:val="0EB67D00"/>
    <w:rsid w:val="0ECF0DC1"/>
    <w:rsid w:val="0F4D0AAA"/>
    <w:rsid w:val="0F8419BC"/>
    <w:rsid w:val="0F851480"/>
    <w:rsid w:val="0F9718DF"/>
    <w:rsid w:val="0FA0747C"/>
    <w:rsid w:val="0FD01451"/>
    <w:rsid w:val="0FD63D76"/>
    <w:rsid w:val="0FE4089C"/>
    <w:rsid w:val="109113A8"/>
    <w:rsid w:val="116E3FA7"/>
    <w:rsid w:val="11A55E09"/>
    <w:rsid w:val="11E8540A"/>
    <w:rsid w:val="11EE6888"/>
    <w:rsid w:val="12040D82"/>
    <w:rsid w:val="122D0B62"/>
    <w:rsid w:val="123245B3"/>
    <w:rsid w:val="12E91297"/>
    <w:rsid w:val="133D5E0A"/>
    <w:rsid w:val="153C16E7"/>
    <w:rsid w:val="15D4217A"/>
    <w:rsid w:val="169E5A68"/>
    <w:rsid w:val="1706559C"/>
    <w:rsid w:val="17E53404"/>
    <w:rsid w:val="18EC242C"/>
    <w:rsid w:val="1922346A"/>
    <w:rsid w:val="19380134"/>
    <w:rsid w:val="19402EE9"/>
    <w:rsid w:val="1A00445C"/>
    <w:rsid w:val="1AAE2C67"/>
    <w:rsid w:val="1AF86BE0"/>
    <w:rsid w:val="1B3306B6"/>
    <w:rsid w:val="1BDD4D8A"/>
    <w:rsid w:val="1BDE0896"/>
    <w:rsid w:val="1BFA5B62"/>
    <w:rsid w:val="1C1979BC"/>
    <w:rsid w:val="1C4E1577"/>
    <w:rsid w:val="1C5E79A5"/>
    <w:rsid w:val="1C6472FC"/>
    <w:rsid w:val="1CE4012E"/>
    <w:rsid w:val="1CF00EFC"/>
    <w:rsid w:val="1D1659DC"/>
    <w:rsid w:val="1DB61742"/>
    <w:rsid w:val="1E935967"/>
    <w:rsid w:val="1F0A567B"/>
    <w:rsid w:val="1F2F00AB"/>
    <w:rsid w:val="1F702630"/>
    <w:rsid w:val="1F8452B0"/>
    <w:rsid w:val="2027068C"/>
    <w:rsid w:val="205210D9"/>
    <w:rsid w:val="20746E51"/>
    <w:rsid w:val="20896382"/>
    <w:rsid w:val="20BC3722"/>
    <w:rsid w:val="21426D4A"/>
    <w:rsid w:val="215F0650"/>
    <w:rsid w:val="21FC7B27"/>
    <w:rsid w:val="22965A26"/>
    <w:rsid w:val="232F6FF2"/>
    <w:rsid w:val="233A4603"/>
    <w:rsid w:val="233D75DC"/>
    <w:rsid w:val="236757CC"/>
    <w:rsid w:val="23FB11F4"/>
    <w:rsid w:val="247973AD"/>
    <w:rsid w:val="26296BB1"/>
    <w:rsid w:val="2657371E"/>
    <w:rsid w:val="278860E5"/>
    <w:rsid w:val="28256D6A"/>
    <w:rsid w:val="28275AF0"/>
    <w:rsid w:val="28A234E4"/>
    <w:rsid w:val="28D2720D"/>
    <w:rsid w:val="28EC134D"/>
    <w:rsid w:val="296F1026"/>
    <w:rsid w:val="29AE2A56"/>
    <w:rsid w:val="2AC62C21"/>
    <w:rsid w:val="2B19589B"/>
    <w:rsid w:val="2B6A7A50"/>
    <w:rsid w:val="2BAE2033"/>
    <w:rsid w:val="2BD1187D"/>
    <w:rsid w:val="2BDA4BD6"/>
    <w:rsid w:val="2C3529EE"/>
    <w:rsid w:val="2C5002AE"/>
    <w:rsid w:val="2CC21BF8"/>
    <w:rsid w:val="2CCA628B"/>
    <w:rsid w:val="2CCD0296"/>
    <w:rsid w:val="2D304052"/>
    <w:rsid w:val="2DB81A56"/>
    <w:rsid w:val="2E0113DE"/>
    <w:rsid w:val="2E7B4030"/>
    <w:rsid w:val="2EEF5DC8"/>
    <w:rsid w:val="2F2F3117"/>
    <w:rsid w:val="2FC44243"/>
    <w:rsid w:val="306A297E"/>
    <w:rsid w:val="31092EA8"/>
    <w:rsid w:val="31B12793"/>
    <w:rsid w:val="33D97E69"/>
    <w:rsid w:val="33EB6583"/>
    <w:rsid w:val="33FB61AD"/>
    <w:rsid w:val="342C6BC9"/>
    <w:rsid w:val="345E1D92"/>
    <w:rsid w:val="347A2C24"/>
    <w:rsid w:val="348E0C53"/>
    <w:rsid w:val="35216558"/>
    <w:rsid w:val="355F2BEC"/>
    <w:rsid w:val="35761799"/>
    <w:rsid w:val="359B4383"/>
    <w:rsid w:val="35B94105"/>
    <w:rsid w:val="360845B7"/>
    <w:rsid w:val="36857E34"/>
    <w:rsid w:val="36ED77AA"/>
    <w:rsid w:val="375A7F25"/>
    <w:rsid w:val="376E6279"/>
    <w:rsid w:val="38A14340"/>
    <w:rsid w:val="392F4087"/>
    <w:rsid w:val="396A2364"/>
    <w:rsid w:val="397A17A6"/>
    <w:rsid w:val="3996258D"/>
    <w:rsid w:val="3A6A181A"/>
    <w:rsid w:val="3A800389"/>
    <w:rsid w:val="3AE0279F"/>
    <w:rsid w:val="3B4D442F"/>
    <w:rsid w:val="3B5000A4"/>
    <w:rsid w:val="3B9A5C1E"/>
    <w:rsid w:val="3C384E8C"/>
    <w:rsid w:val="3C735239"/>
    <w:rsid w:val="3D485EC4"/>
    <w:rsid w:val="3D8263F7"/>
    <w:rsid w:val="3DBB253E"/>
    <w:rsid w:val="3DE758A5"/>
    <w:rsid w:val="3E490B2A"/>
    <w:rsid w:val="3E9B4AFA"/>
    <w:rsid w:val="3F010273"/>
    <w:rsid w:val="3F5C6F82"/>
    <w:rsid w:val="3F7A35A1"/>
    <w:rsid w:val="3FCA37A3"/>
    <w:rsid w:val="3FEF631E"/>
    <w:rsid w:val="3FF74CD3"/>
    <w:rsid w:val="40507E8F"/>
    <w:rsid w:val="40611EDD"/>
    <w:rsid w:val="41593545"/>
    <w:rsid w:val="42310E70"/>
    <w:rsid w:val="423F438F"/>
    <w:rsid w:val="43244531"/>
    <w:rsid w:val="44C5770F"/>
    <w:rsid w:val="44EF71C4"/>
    <w:rsid w:val="46452166"/>
    <w:rsid w:val="46496788"/>
    <w:rsid w:val="467D28D5"/>
    <w:rsid w:val="46F74436"/>
    <w:rsid w:val="474B1D32"/>
    <w:rsid w:val="475D7492"/>
    <w:rsid w:val="477F52E6"/>
    <w:rsid w:val="47A04ACD"/>
    <w:rsid w:val="47CA56A6"/>
    <w:rsid w:val="47D66741"/>
    <w:rsid w:val="47ED66D2"/>
    <w:rsid w:val="482D6FF9"/>
    <w:rsid w:val="485B637D"/>
    <w:rsid w:val="48607974"/>
    <w:rsid w:val="48832656"/>
    <w:rsid w:val="496140CE"/>
    <w:rsid w:val="49994EE1"/>
    <w:rsid w:val="49995C78"/>
    <w:rsid w:val="4AE139DB"/>
    <w:rsid w:val="4B2941E0"/>
    <w:rsid w:val="4BDB0A24"/>
    <w:rsid w:val="4C31315D"/>
    <w:rsid w:val="4CB56EFC"/>
    <w:rsid w:val="4D001BA2"/>
    <w:rsid w:val="4D524E62"/>
    <w:rsid w:val="4EF37BD9"/>
    <w:rsid w:val="4F2E29BF"/>
    <w:rsid w:val="4F6D75ED"/>
    <w:rsid w:val="507F03F4"/>
    <w:rsid w:val="50A33062"/>
    <w:rsid w:val="50DC6F8F"/>
    <w:rsid w:val="5116436F"/>
    <w:rsid w:val="5128323B"/>
    <w:rsid w:val="51352B6B"/>
    <w:rsid w:val="51A72EFC"/>
    <w:rsid w:val="52181704"/>
    <w:rsid w:val="527E021F"/>
    <w:rsid w:val="52953EDE"/>
    <w:rsid w:val="52D53472"/>
    <w:rsid w:val="536C5EAD"/>
    <w:rsid w:val="53A17F68"/>
    <w:rsid w:val="53D8739D"/>
    <w:rsid w:val="53DB6C22"/>
    <w:rsid w:val="53FB2F26"/>
    <w:rsid w:val="541D6876"/>
    <w:rsid w:val="54B6568B"/>
    <w:rsid w:val="55085A60"/>
    <w:rsid w:val="55A90FF1"/>
    <w:rsid w:val="55BB5978"/>
    <w:rsid w:val="55ED0D3D"/>
    <w:rsid w:val="55F45FE4"/>
    <w:rsid w:val="5683561C"/>
    <w:rsid w:val="586B764B"/>
    <w:rsid w:val="590456AD"/>
    <w:rsid w:val="59343196"/>
    <w:rsid w:val="599E0097"/>
    <w:rsid w:val="5A201514"/>
    <w:rsid w:val="5A5D05FC"/>
    <w:rsid w:val="5A983AA4"/>
    <w:rsid w:val="5ABB2B2E"/>
    <w:rsid w:val="5ADB7D78"/>
    <w:rsid w:val="5B0F5D9A"/>
    <w:rsid w:val="5BB04DF0"/>
    <w:rsid w:val="5C6A3582"/>
    <w:rsid w:val="5C700ABB"/>
    <w:rsid w:val="5CAE778C"/>
    <w:rsid w:val="5D0C00B7"/>
    <w:rsid w:val="5D123920"/>
    <w:rsid w:val="5D6C0A93"/>
    <w:rsid w:val="5D915A0E"/>
    <w:rsid w:val="5DBD061A"/>
    <w:rsid w:val="5E932E93"/>
    <w:rsid w:val="5ED014C1"/>
    <w:rsid w:val="5ED6097D"/>
    <w:rsid w:val="5F04373C"/>
    <w:rsid w:val="5FA4498B"/>
    <w:rsid w:val="5FE71921"/>
    <w:rsid w:val="60480506"/>
    <w:rsid w:val="605A1F17"/>
    <w:rsid w:val="60643E84"/>
    <w:rsid w:val="60A246D9"/>
    <w:rsid w:val="61130716"/>
    <w:rsid w:val="61143219"/>
    <w:rsid w:val="6125074A"/>
    <w:rsid w:val="615C2960"/>
    <w:rsid w:val="61707CCC"/>
    <w:rsid w:val="618F69CF"/>
    <w:rsid w:val="61A6052D"/>
    <w:rsid w:val="623E37BE"/>
    <w:rsid w:val="626B6216"/>
    <w:rsid w:val="628B104E"/>
    <w:rsid w:val="63097573"/>
    <w:rsid w:val="633D721D"/>
    <w:rsid w:val="635B1617"/>
    <w:rsid w:val="63814C5E"/>
    <w:rsid w:val="63C87B70"/>
    <w:rsid w:val="63FA2F2B"/>
    <w:rsid w:val="64077B7B"/>
    <w:rsid w:val="641D2F42"/>
    <w:rsid w:val="64AF5C1A"/>
    <w:rsid w:val="651C3DE1"/>
    <w:rsid w:val="65A11CE5"/>
    <w:rsid w:val="65AE7F5E"/>
    <w:rsid w:val="66A178F0"/>
    <w:rsid w:val="66E75E1D"/>
    <w:rsid w:val="671B1623"/>
    <w:rsid w:val="676C7036"/>
    <w:rsid w:val="67943823"/>
    <w:rsid w:val="67BC2E06"/>
    <w:rsid w:val="67CF5844"/>
    <w:rsid w:val="683933CE"/>
    <w:rsid w:val="685314B5"/>
    <w:rsid w:val="685968A7"/>
    <w:rsid w:val="688E513D"/>
    <w:rsid w:val="69841E39"/>
    <w:rsid w:val="699456BD"/>
    <w:rsid w:val="69D01878"/>
    <w:rsid w:val="69D550CD"/>
    <w:rsid w:val="69F61ED3"/>
    <w:rsid w:val="6A1F4430"/>
    <w:rsid w:val="6A3540AA"/>
    <w:rsid w:val="6A8B4D12"/>
    <w:rsid w:val="6AAB53B4"/>
    <w:rsid w:val="6B247663"/>
    <w:rsid w:val="6B6970BF"/>
    <w:rsid w:val="6BCC55E2"/>
    <w:rsid w:val="6BDA6A70"/>
    <w:rsid w:val="6BF6265F"/>
    <w:rsid w:val="6C90660F"/>
    <w:rsid w:val="6D1F523E"/>
    <w:rsid w:val="6D38732A"/>
    <w:rsid w:val="6D9A5DB7"/>
    <w:rsid w:val="6DC24EEE"/>
    <w:rsid w:val="6DD05A39"/>
    <w:rsid w:val="6DE22002"/>
    <w:rsid w:val="6DFB3020"/>
    <w:rsid w:val="6E0252EB"/>
    <w:rsid w:val="6EC6360F"/>
    <w:rsid w:val="6EE24C47"/>
    <w:rsid w:val="6F9E4E89"/>
    <w:rsid w:val="6FB940CF"/>
    <w:rsid w:val="704D7FCB"/>
    <w:rsid w:val="70FF5B11"/>
    <w:rsid w:val="71025602"/>
    <w:rsid w:val="712B71E9"/>
    <w:rsid w:val="713118C3"/>
    <w:rsid w:val="716B1BD6"/>
    <w:rsid w:val="71A165C4"/>
    <w:rsid w:val="71C02C3F"/>
    <w:rsid w:val="727B2178"/>
    <w:rsid w:val="72BB5C94"/>
    <w:rsid w:val="72FB7C35"/>
    <w:rsid w:val="732B3BA9"/>
    <w:rsid w:val="737511A4"/>
    <w:rsid w:val="73B01AE0"/>
    <w:rsid w:val="743B31FA"/>
    <w:rsid w:val="74463A57"/>
    <w:rsid w:val="74664EBC"/>
    <w:rsid w:val="748E4735"/>
    <w:rsid w:val="749649DF"/>
    <w:rsid w:val="74A2126A"/>
    <w:rsid w:val="74EA3555"/>
    <w:rsid w:val="750F77E4"/>
    <w:rsid w:val="75F96B4F"/>
    <w:rsid w:val="761A5C47"/>
    <w:rsid w:val="76320737"/>
    <w:rsid w:val="76DD4F9D"/>
    <w:rsid w:val="77316A3F"/>
    <w:rsid w:val="773B5FB8"/>
    <w:rsid w:val="774B1AB0"/>
    <w:rsid w:val="777A05E8"/>
    <w:rsid w:val="779416A9"/>
    <w:rsid w:val="77DC750A"/>
    <w:rsid w:val="77FA34D6"/>
    <w:rsid w:val="78024143"/>
    <w:rsid w:val="789842C8"/>
    <w:rsid w:val="78F42BEF"/>
    <w:rsid w:val="78F54CD1"/>
    <w:rsid w:val="794D7A89"/>
    <w:rsid w:val="799B64FC"/>
    <w:rsid w:val="7A76575F"/>
    <w:rsid w:val="7ACF7754"/>
    <w:rsid w:val="7AF0174A"/>
    <w:rsid w:val="7B203254"/>
    <w:rsid w:val="7B537186"/>
    <w:rsid w:val="7B5B245B"/>
    <w:rsid w:val="7B5C1973"/>
    <w:rsid w:val="7B6018A2"/>
    <w:rsid w:val="7BDE27F0"/>
    <w:rsid w:val="7C0B7A60"/>
    <w:rsid w:val="7C282565"/>
    <w:rsid w:val="7C4A1FD6"/>
    <w:rsid w:val="7C6F2CF1"/>
    <w:rsid w:val="7C6F561D"/>
    <w:rsid w:val="7CA659DB"/>
    <w:rsid w:val="7CAD6D69"/>
    <w:rsid w:val="7CB244A3"/>
    <w:rsid w:val="7CDB5685"/>
    <w:rsid w:val="7D3D50B2"/>
    <w:rsid w:val="7E4E00D8"/>
    <w:rsid w:val="7E8C71A6"/>
    <w:rsid w:val="7E9A0AAB"/>
    <w:rsid w:val="7EA6506C"/>
    <w:rsid w:val="7EE67CE4"/>
    <w:rsid w:val="7F6E1836"/>
    <w:rsid w:val="7F8D69DE"/>
    <w:rsid w:val="7FA70494"/>
    <w:rsid w:val="7FBC4A80"/>
    <w:rsid w:val="7FC05006"/>
    <w:rsid w:val="7FE66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7860</Words>
  <Characters>8107</Characters>
  <Lines>0</Lines>
  <Paragraphs>0</Paragraphs>
  <TotalTime>73</TotalTime>
  <ScaleCrop>false</ScaleCrop>
  <LinksUpToDate>false</LinksUpToDate>
  <CharactersWithSpaces>8673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2026-06-30T07:36:07Z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F66F62019BF24D7C93E244ECFD11FF5B_13</vt:lpwstr>
  </property>
  <property fmtid="{D5CDD505-2E9C-101B-9397-08002B2CF9AE}" pid="4" name="KSOTemplateDocerSaveRecord">
    <vt:lpwstr>eyJoZGlkIjoiNzdkNTM4MTkwYTE0Yjk0Y2Y4MjVlZDcwOGViZTQwYjIiLCJ1c2VySWQiOiIxMTc2NDE1MTk0In0=</vt:lpwstr>
  </property>
</Properties>
</file>