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B7023C">
      <w:pPr>
        <w:rPr>
          <w:rFonts w:hint="eastAsia"/>
          <w:highlight w:val="none"/>
          <w:lang w:val="en-US" w:eastAsia="zh-CN"/>
        </w:rPr>
      </w:pPr>
    </w:p>
    <w:p w14:paraId="4E31B3E7">
      <w:pPr>
        <w:rPr>
          <w:rFonts w:hint="eastAsia"/>
          <w:highlight w:val="none"/>
          <w:lang w:val="en-US" w:eastAsia="zh-CN"/>
        </w:rPr>
      </w:pPr>
    </w:p>
    <w:p w14:paraId="2BC3CAD8">
      <w:pPr>
        <w:jc w:val="center"/>
        <w:rPr>
          <w:rFonts w:hint="eastAsia"/>
          <w:b/>
          <w:bCs/>
          <w:sz w:val="84"/>
          <w:szCs w:val="84"/>
          <w:highlight w:val="none"/>
          <w:lang w:val="en-US" w:eastAsia="zh-CN"/>
        </w:rPr>
      </w:pPr>
    </w:p>
    <w:p w14:paraId="43CDD0F0">
      <w:pPr>
        <w:jc w:val="center"/>
        <w:rPr>
          <w:rFonts w:hint="eastAsia"/>
          <w:b/>
          <w:bCs/>
          <w:sz w:val="84"/>
          <w:szCs w:val="84"/>
          <w:highlight w:val="none"/>
          <w:lang w:val="en-US" w:eastAsia="zh-CN"/>
        </w:rPr>
      </w:pPr>
      <w:r>
        <w:rPr>
          <w:rFonts w:hint="eastAsia"/>
          <w:b/>
          <w:bCs/>
          <w:sz w:val="84"/>
          <w:szCs w:val="84"/>
          <w:highlight w:val="none"/>
          <w:lang w:val="en-US" w:eastAsia="zh-CN"/>
        </w:rPr>
        <w:t>封面</w:t>
      </w:r>
    </w:p>
    <w:p w14:paraId="6B42F9D6">
      <w:pPr>
        <w:jc w:val="center"/>
        <w:rPr>
          <w:rFonts w:hint="eastAsia"/>
          <w:b/>
          <w:bCs/>
          <w:sz w:val="84"/>
          <w:szCs w:val="84"/>
          <w:highlight w:val="none"/>
          <w:lang w:val="en-US" w:eastAsia="zh-CN"/>
        </w:rPr>
      </w:pPr>
      <w:r>
        <w:rPr>
          <w:rFonts w:hint="eastAsia"/>
          <w:b/>
          <w:bCs/>
          <w:sz w:val="84"/>
          <w:szCs w:val="84"/>
          <w:highlight w:val="none"/>
          <w:lang w:val="en-US" w:eastAsia="zh-CN"/>
        </w:rPr>
        <w:t>投标报价文件</w:t>
      </w:r>
    </w:p>
    <w:p w14:paraId="713D79FB">
      <w:pPr>
        <w:jc w:val="center"/>
        <w:rPr>
          <w:rFonts w:hint="eastAsia"/>
          <w:b/>
          <w:bCs/>
          <w:sz w:val="44"/>
          <w:szCs w:val="44"/>
          <w:highlight w:val="none"/>
          <w:lang w:val="en-US" w:eastAsia="zh-CN"/>
        </w:rPr>
      </w:pPr>
    </w:p>
    <w:p w14:paraId="34BCAA02">
      <w:pPr>
        <w:rPr>
          <w:rFonts w:hint="eastAsia"/>
          <w:sz w:val="32"/>
          <w:szCs w:val="32"/>
          <w:highlight w:val="none"/>
          <w:lang w:val="en-US" w:eastAsia="zh-CN"/>
        </w:rPr>
      </w:pPr>
    </w:p>
    <w:p w14:paraId="32F0B7ED">
      <w:pPr>
        <w:rPr>
          <w:rFonts w:hint="eastAsia"/>
          <w:sz w:val="32"/>
          <w:szCs w:val="32"/>
          <w:highlight w:val="none"/>
          <w:lang w:val="en-US" w:eastAsia="zh-CN"/>
        </w:rPr>
      </w:pPr>
    </w:p>
    <w:p w14:paraId="75F78346">
      <w:pPr>
        <w:rPr>
          <w:rFonts w:hint="eastAsia"/>
          <w:sz w:val="32"/>
          <w:szCs w:val="32"/>
          <w:highlight w:val="none"/>
          <w:lang w:val="en-US" w:eastAsia="zh-CN"/>
        </w:rPr>
      </w:pPr>
    </w:p>
    <w:p w14:paraId="63FD9623">
      <w:pPr>
        <w:rPr>
          <w:rFonts w:hint="eastAsia"/>
          <w:sz w:val="32"/>
          <w:szCs w:val="32"/>
          <w:highlight w:val="none"/>
          <w:lang w:val="en-US" w:eastAsia="zh-CN"/>
        </w:rPr>
      </w:pPr>
    </w:p>
    <w:p w14:paraId="4C85F10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项目名称：医务社工介入全域安宁疗护服务体系建设</w:t>
      </w:r>
    </w:p>
    <w:p w14:paraId="0355F30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项目编号：BSRMYY-YNCG-2026-08022</w:t>
      </w:r>
    </w:p>
    <w:p w14:paraId="37ABA0D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highlight w:val="none"/>
          <w:lang w:val="en-US" w:eastAsia="zh-CN"/>
        </w:rPr>
      </w:pPr>
      <w:r>
        <w:rPr>
          <w:rFonts w:hint="eastAsia"/>
          <w:sz w:val="44"/>
          <w:szCs w:val="44"/>
          <w:highlight w:val="none"/>
          <w:lang w:val="en-US" w:eastAsia="zh-CN"/>
        </w:rPr>
        <w:t>采购人（名称）：重庆市璧山区人民医院</w:t>
      </w:r>
    </w:p>
    <w:p w14:paraId="53B2AB57">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投标人（盖章）：</w:t>
      </w:r>
    </w:p>
    <w:p w14:paraId="2C7D279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投标人地址：</w:t>
      </w:r>
    </w:p>
    <w:p w14:paraId="5241EA1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联系人：</w:t>
      </w:r>
    </w:p>
    <w:p w14:paraId="7AA887CE">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联系电话：</w:t>
      </w:r>
    </w:p>
    <w:p w14:paraId="4067997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投标时间：</w:t>
      </w:r>
    </w:p>
    <w:p w14:paraId="7F0F41C1">
      <w:pPr>
        <w:rPr>
          <w:rFonts w:hint="default"/>
          <w:sz w:val="44"/>
          <w:szCs w:val="44"/>
          <w:highlight w:val="none"/>
          <w:lang w:val="en-US" w:eastAsia="zh-CN"/>
        </w:rPr>
      </w:pPr>
      <w:r>
        <w:rPr>
          <w:rFonts w:hint="eastAsia"/>
          <w:sz w:val="44"/>
          <w:szCs w:val="44"/>
          <w:highlight w:val="none"/>
          <w:lang w:val="en-US" w:eastAsia="zh-CN"/>
        </w:rPr>
        <w:br w:type="page"/>
      </w:r>
      <w:bookmarkStart w:id="7" w:name="_GoBack"/>
      <w:bookmarkEnd w:id="7"/>
    </w:p>
    <w:p w14:paraId="114D72EA">
      <w:pPr>
        <w:jc w:val="center"/>
        <w:rPr>
          <w:rFonts w:hint="default" w:ascii="仿宋" w:hAnsi="仿宋" w:eastAsia="仿宋" w:cs="仿宋"/>
          <w:b/>
          <w:bCs/>
          <w:color w:val="auto"/>
          <w:sz w:val="36"/>
          <w:szCs w:val="24"/>
          <w:highlight w:val="none"/>
          <w:lang w:val="en-US" w:eastAsia="zh-CN"/>
        </w:rPr>
      </w:pPr>
      <w:r>
        <w:rPr>
          <w:rFonts w:hint="eastAsia" w:ascii="仿宋" w:hAnsi="仿宋" w:eastAsia="仿宋" w:cs="仿宋"/>
          <w:b/>
          <w:bCs/>
          <w:color w:val="auto"/>
          <w:sz w:val="28"/>
          <w:szCs w:val="21"/>
          <w:highlight w:val="none"/>
          <w:lang w:val="en-US" w:eastAsia="zh-CN"/>
        </w:rPr>
        <w:t xml:space="preserve">采购需求介绍 </w:t>
      </w:r>
    </w:p>
    <w:p w14:paraId="62BA2D7E">
      <w:pPr>
        <w:pStyle w:val="2"/>
        <w:pageBreakBefore w:val="0"/>
        <w:numPr>
          <w:ilvl w:val="0"/>
          <w:numId w:val="3"/>
        </w:numPr>
        <w:kinsoku/>
        <w:wordWrap/>
        <w:overflowPunct/>
        <w:topLinePunct w:val="0"/>
        <w:autoSpaceDE/>
        <w:autoSpaceDN/>
        <w:bidi w:val="0"/>
        <w:adjustRightInd/>
        <w:snapToGrid/>
        <w:spacing w:before="0" w:after="0" w:line="240" w:lineRule="auto"/>
        <w:ind w:leftChars="0"/>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 xml:space="preserve">采购项目介绍   </w:t>
      </w:r>
    </w:p>
    <w:tbl>
      <w:tblPr>
        <w:tblStyle w:val="13"/>
        <w:tblW w:w="5242"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880"/>
        <w:gridCol w:w="2893"/>
        <w:gridCol w:w="1383"/>
        <w:gridCol w:w="1243"/>
        <w:gridCol w:w="2134"/>
        <w:gridCol w:w="1798"/>
      </w:tblGrid>
      <w:tr w14:paraId="591DD8B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40" w:hRule="atLeast"/>
          <w:jc w:val="center"/>
        </w:trPr>
        <w:tc>
          <w:tcPr>
            <w:tcW w:w="425" w:type="pct"/>
            <w:vAlign w:val="center"/>
          </w:tcPr>
          <w:p w14:paraId="281BA3F6">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序号</w:t>
            </w:r>
          </w:p>
        </w:tc>
        <w:tc>
          <w:tcPr>
            <w:tcW w:w="1400" w:type="pct"/>
            <w:vAlign w:val="center"/>
          </w:tcPr>
          <w:p w14:paraId="0CBC499A">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项目名称</w:t>
            </w:r>
          </w:p>
        </w:tc>
        <w:tc>
          <w:tcPr>
            <w:tcW w:w="669" w:type="pct"/>
            <w:vAlign w:val="center"/>
          </w:tcPr>
          <w:p w14:paraId="07E6D49A">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数量</w:t>
            </w:r>
          </w:p>
        </w:tc>
        <w:tc>
          <w:tcPr>
            <w:tcW w:w="601" w:type="pct"/>
            <w:vAlign w:val="center"/>
          </w:tcPr>
          <w:p w14:paraId="430CE0E2">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单位</w:t>
            </w:r>
          </w:p>
        </w:tc>
        <w:tc>
          <w:tcPr>
            <w:tcW w:w="1032" w:type="pct"/>
            <w:vAlign w:val="center"/>
          </w:tcPr>
          <w:p w14:paraId="42B2C360">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单价限价（元）</w:t>
            </w:r>
          </w:p>
        </w:tc>
        <w:tc>
          <w:tcPr>
            <w:tcW w:w="870" w:type="pct"/>
            <w:vAlign w:val="center"/>
          </w:tcPr>
          <w:p w14:paraId="3B975CD9">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合计（元）</w:t>
            </w:r>
          </w:p>
        </w:tc>
      </w:tr>
      <w:tr w14:paraId="7CD791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398" w:hRule="atLeast"/>
          <w:jc w:val="center"/>
        </w:trPr>
        <w:tc>
          <w:tcPr>
            <w:tcW w:w="425" w:type="pct"/>
            <w:shd w:val="clear" w:color="auto" w:fill="auto"/>
            <w:vAlign w:val="center"/>
          </w:tcPr>
          <w:p w14:paraId="7570D5CD">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rPr>
              <w:t>1</w:t>
            </w:r>
          </w:p>
        </w:tc>
        <w:tc>
          <w:tcPr>
            <w:tcW w:w="1400" w:type="pct"/>
            <w:vAlign w:val="center"/>
          </w:tcPr>
          <w:p w14:paraId="54AF69C9">
            <w:pPr>
              <w:pageBreakBefore w:val="0"/>
              <w:widowControl/>
              <w:kinsoku/>
              <w:wordWrap/>
              <w:overflowPunct/>
              <w:topLinePunct w:val="0"/>
              <w:autoSpaceDE/>
              <w:autoSpaceDN/>
              <w:bidi w:val="0"/>
              <w:adjustRightInd/>
              <w:snapToGrid/>
              <w:spacing w:line="240" w:lineRule="auto"/>
              <w:ind w:firstLine="0" w:firstLineChars="0"/>
              <w:jc w:val="left"/>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医务社工介入全域安宁疗护服务体系建设</w:t>
            </w:r>
          </w:p>
        </w:tc>
        <w:tc>
          <w:tcPr>
            <w:tcW w:w="669" w:type="pct"/>
            <w:vAlign w:val="center"/>
          </w:tcPr>
          <w:p w14:paraId="449CD550">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12</w:t>
            </w:r>
          </w:p>
        </w:tc>
        <w:tc>
          <w:tcPr>
            <w:tcW w:w="601" w:type="pct"/>
            <w:vAlign w:val="center"/>
          </w:tcPr>
          <w:p w14:paraId="361BB810">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月</w:t>
            </w:r>
          </w:p>
        </w:tc>
        <w:tc>
          <w:tcPr>
            <w:tcW w:w="1032" w:type="pct"/>
            <w:vAlign w:val="center"/>
          </w:tcPr>
          <w:p w14:paraId="2CDE7F39">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4000</w:t>
            </w:r>
          </w:p>
        </w:tc>
        <w:tc>
          <w:tcPr>
            <w:tcW w:w="870" w:type="pct"/>
            <w:vAlign w:val="center"/>
          </w:tcPr>
          <w:p w14:paraId="12E1869A">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48000</w:t>
            </w:r>
          </w:p>
        </w:tc>
      </w:tr>
    </w:tbl>
    <w:p w14:paraId="0E7B3C2F">
      <w:pPr>
        <w:widowControl w:val="0"/>
        <w:numPr>
          <w:ilvl w:val="0"/>
          <w:numId w:val="0"/>
        </w:numPr>
        <w:jc w:val="both"/>
        <w:rPr>
          <w:rFonts w:hint="default"/>
          <w:highlight w:val="none"/>
          <w:lang w:val="en-US" w:eastAsia="zh-CN"/>
        </w:rPr>
      </w:pPr>
    </w:p>
    <w:p w14:paraId="5940C8D5">
      <w:pPr>
        <w:pStyle w:val="25"/>
        <w:numPr>
          <w:ilvl w:val="0"/>
          <w:numId w:val="0"/>
        </w:numPr>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二、技术要求（须完全响应）</w:t>
      </w:r>
    </w:p>
    <w:tbl>
      <w:tblPr>
        <w:tblStyle w:val="13"/>
        <w:tblpPr w:leftFromText="180" w:rightFromText="180" w:vertAnchor="text" w:horzAnchor="page" w:tblpX="825" w:tblpY="94"/>
        <w:tblOverlap w:val="never"/>
        <w:tblW w:w="103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1"/>
        <w:gridCol w:w="1925"/>
        <w:gridCol w:w="7544"/>
      </w:tblGrid>
      <w:tr w14:paraId="55A60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840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序号</w:t>
            </w:r>
          </w:p>
        </w:tc>
        <w:tc>
          <w:tcPr>
            <w:tcW w:w="1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6E0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名称</w:t>
            </w:r>
          </w:p>
        </w:tc>
        <w:tc>
          <w:tcPr>
            <w:tcW w:w="7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4A0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服务要求</w:t>
            </w:r>
          </w:p>
        </w:tc>
      </w:tr>
      <w:tr w14:paraId="43AD8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B4C5F">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w:t>
            </w:r>
          </w:p>
        </w:tc>
        <w:tc>
          <w:tcPr>
            <w:tcW w:w="1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77631">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default" w:ascii="方正仿宋_GBK" w:hAnsi="方正仿宋_GBK" w:eastAsia="方正仿宋_GBK" w:cs="方正仿宋_GBK"/>
                <w:b/>
                <w:bCs/>
                <w:kern w:val="0"/>
                <w:sz w:val="28"/>
                <w:szCs w:val="28"/>
                <w:highlight w:val="none"/>
                <w:lang w:val="en-US" w:eastAsia="zh-CN"/>
              </w:rPr>
              <w:t>医务社工介入全域安宁疗护服务体系建设</w:t>
            </w:r>
          </w:p>
        </w:tc>
        <w:tc>
          <w:tcPr>
            <w:tcW w:w="7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D86F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i w:val="0"/>
                <w:iCs w:val="0"/>
                <w:color w:val="000000"/>
                <w:kern w:val="0"/>
                <w:sz w:val="28"/>
                <w:szCs w:val="28"/>
                <w:highlight w:val="none"/>
                <w:u w:val="none"/>
                <w:lang w:val="en-US" w:eastAsia="zh-CN" w:bidi="ar"/>
              </w:rPr>
              <w:t>（一）第1-10个月（筹备及实施期）：</w:t>
            </w:r>
          </w:p>
          <w:p w14:paraId="61A2870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i w:val="0"/>
                <w:iCs w:val="0"/>
                <w:color w:val="000000"/>
                <w:kern w:val="0"/>
                <w:sz w:val="28"/>
                <w:szCs w:val="28"/>
                <w:highlight w:val="none"/>
                <w:u w:val="none"/>
                <w:lang w:val="en-US" w:eastAsia="zh-CN" w:bidi="ar"/>
              </w:rPr>
              <w:t>1.每月须至少完成以下常规服务内容</w:t>
            </w:r>
          </w:p>
          <w:p w14:paraId="403BC04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i w:val="0"/>
                <w:iCs w:val="0"/>
                <w:color w:val="000000"/>
                <w:kern w:val="0"/>
                <w:sz w:val="28"/>
                <w:szCs w:val="28"/>
                <w:highlight w:val="none"/>
                <w:u w:val="none"/>
                <w:lang w:val="en-US" w:eastAsia="zh-CN" w:bidi="ar"/>
              </w:rPr>
              <w:t>（1）全域生死教育：1场（社区与基层交替开展，全年共12场，第11月补足2场）；</w:t>
            </w:r>
          </w:p>
          <w:p w14:paraId="0943EBF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i w:val="0"/>
                <w:iCs w:val="0"/>
                <w:color w:val="000000"/>
                <w:kern w:val="0"/>
                <w:sz w:val="28"/>
                <w:szCs w:val="28"/>
                <w:highlight w:val="none"/>
                <w:u w:val="none"/>
                <w:lang w:val="en-US" w:eastAsia="zh-CN" w:bidi="ar"/>
              </w:rPr>
              <w:t>（2）病区芳香疗法：5人次（30-45分钟/人，全年共≥50人次）；</w:t>
            </w:r>
          </w:p>
          <w:p w14:paraId="1960023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i w:val="0"/>
                <w:iCs w:val="0"/>
                <w:color w:val="000000"/>
                <w:kern w:val="0"/>
                <w:sz w:val="28"/>
                <w:szCs w:val="28"/>
                <w:highlight w:val="none"/>
                <w:u w:val="none"/>
                <w:lang w:val="en-US" w:eastAsia="zh-CN" w:bidi="ar"/>
              </w:rPr>
              <w:t>（3）ACP签署：2例（全年共≥24例，第11月补足4例）；</w:t>
            </w:r>
          </w:p>
          <w:p w14:paraId="6C9FBCD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i w:val="0"/>
                <w:iCs w:val="0"/>
                <w:color w:val="000000"/>
                <w:kern w:val="0"/>
                <w:sz w:val="28"/>
                <w:szCs w:val="28"/>
                <w:highlight w:val="none"/>
                <w:u w:val="none"/>
                <w:lang w:val="en-US" w:eastAsia="zh-CN" w:bidi="ar"/>
              </w:rPr>
              <w:t>（4）生命故事书（叙事个案）：1册（全年共≥12册，第11月补足2册）；</w:t>
            </w:r>
          </w:p>
          <w:p w14:paraId="2E09C88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i w:val="0"/>
                <w:iCs w:val="0"/>
                <w:color w:val="000000"/>
                <w:kern w:val="0"/>
                <w:sz w:val="28"/>
                <w:szCs w:val="28"/>
                <w:highlight w:val="none"/>
                <w:u w:val="none"/>
                <w:lang w:val="en-US" w:eastAsia="zh-CN" w:bidi="ar"/>
              </w:rPr>
              <w:t>（5）四道人生工作坊：1场（全年共12场，第11月补足2场）；</w:t>
            </w:r>
          </w:p>
          <w:p w14:paraId="3096DF8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i w:val="0"/>
                <w:iCs w:val="0"/>
                <w:color w:val="000000"/>
                <w:kern w:val="0"/>
                <w:sz w:val="28"/>
                <w:szCs w:val="28"/>
                <w:highlight w:val="none"/>
                <w:u w:val="none"/>
                <w:lang w:val="en-US" w:eastAsia="zh-CN" w:bidi="ar"/>
              </w:rPr>
              <w:t>（6）生日会：1场（全年共≥12场，含第11、12月）；</w:t>
            </w:r>
          </w:p>
          <w:p w14:paraId="2F9087C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i w:val="0"/>
                <w:iCs w:val="0"/>
                <w:color w:val="000000"/>
                <w:kern w:val="0"/>
                <w:sz w:val="28"/>
                <w:szCs w:val="28"/>
                <w:highlight w:val="none"/>
                <w:u w:val="none"/>
                <w:lang w:val="en-US" w:eastAsia="zh-CN" w:bidi="ar"/>
              </w:rPr>
              <w:t>（7）家庭会议：2户（全年共≥24户，第11月补足4户）；</w:t>
            </w:r>
          </w:p>
          <w:p w14:paraId="077F173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i w:val="0"/>
                <w:iCs w:val="0"/>
                <w:color w:val="000000"/>
                <w:kern w:val="0"/>
                <w:sz w:val="28"/>
                <w:szCs w:val="28"/>
                <w:highlight w:val="none"/>
                <w:u w:val="none"/>
                <w:lang w:val="en-US" w:eastAsia="zh-CN" w:bidi="ar"/>
              </w:rPr>
              <w:t>（8）哀伤辅导工作坊：1人次（全年共12人次，第11月补足2人次）；</w:t>
            </w:r>
          </w:p>
          <w:p w14:paraId="1E33E92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i w:val="0"/>
                <w:iCs w:val="0"/>
                <w:color w:val="000000"/>
                <w:kern w:val="0"/>
                <w:sz w:val="28"/>
                <w:szCs w:val="28"/>
                <w:highlight w:val="none"/>
                <w:u w:val="none"/>
                <w:lang w:val="en-US" w:eastAsia="zh-CN" w:bidi="ar"/>
              </w:rPr>
              <w:t>（9）整理《安宁居家转介档案》：1份（全年共10份）；</w:t>
            </w:r>
          </w:p>
          <w:p w14:paraId="191CAC7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i w:val="0"/>
                <w:iCs w:val="0"/>
                <w:color w:val="000000"/>
                <w:kern w:val="0"/>
                <w:sz w:val="28"/>
                <w:szCs w:val="28"/>
                <w:highlight w:val="none"/>
                <w:u w:val="none"/>
                <w:lang w:val="en-US" w:eastAsia="zh-CN" w:bidi="ar"/>
              </w:rPr>
              <w:t>（10）居家访视：2户次（全年共≥20户次）；</w:t>
            </w:r>
          </w:p>
          <w:p w14:paraId="484BA19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i w:val="0"/>
                <w:iCs w:val="0"/>
                <w:color w:val="000000"/>
                <w:kern w:val="0"/>
                <w:sz w:val="28"/>
                <w:szCs w:val="28"/>
                <w:highlight w:val="none"/>
                <w:u w:val="none"/>
                <w:lang w:val="en-US" w:eastAsia="zh-CN" w:bidi="ar"/>
              </w:rPr>
              <w:t>（11）志愿服务：30人次（全年共≥300人次）；</w:t>
            </w:r>
          </w:p>
          <w:p w14:paraId="47C5B8A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i w:val="0"/>
                <w:iCs w:val="0"/>
                <w:color w:val="000000"/>
                <w:kern w:val="0"/>
                <w:sz w:val="28"/>
                <w:szCs w:val="28"/>
                <w:highlight w:val="none"/>
                <w:u w:val="none"/>
                <w:lang w:val="en-US" w:eastAsia="zh-CN" w:bidi="ar"/>
              </w:rPr>
              <w:t>（12）志愿者系统化培训与团建：1场（前8个月每月1场，全年共8场）。</w:t>
            </w:r>
          </w:p>
          <w:p w14:paraId="185054F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i w:val="0"/>
                <w:iCs w:val="0"/>
                <w:color w:val="000000"/>
                <w:kern w:val="0"/>
                <w:sz w:val="28"/>
                <w:szCs w:val="28"/>
                <w:highlight w:val="none"/>
                <w:u w:val="none"/>
                <w:lang w:val="en-US" w:eastAsia="zh-CN" w:bidi="ar"/>
              </w:rPr>
              <w:t>2.特殊节点服务（第1-10个月内排期）：</w:t>
            </w:r>
          </w:p>
          <w:p w14:paraId="1B8B8D4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i w:val="0"/>
                <w:iCs w:val="0"/>
                <w:color w:val="000000"/>
                <w:kern w:val="0"/>
                <w:sz w:val="28"/>
                <w:szCs w:val="28"/>
                <w:highlight w:val="none"/>
                <w:u w:val="none"/>
                <w:lang w:val="en-US" w:eastAsia="zh-CN" w:bidi="ar"/>
              </w:rPr>
              <w:t>（1）医护心灵SPA：第3、6、9月各完成1场（全年共4场）；</w:t>
            </w:r>
          </w:p>
          <w:p w14:paraId="011E789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i w:val="0"/>
                <w:iCs w:val="0"/>
                <w:color w:val="000000"/>
                <w:kern w:val="0"/>
                <w:sz w:val="28"/>
                <w:szCs w:val="28"/>
                <w:highlight w:val="none"/>
                <w:u w:val="none"/>
                <w:lang w:val="en-US" w:eastAsia="zh-CN" w:bidi="ar"/>
              </w:rPr>
              <w:t>（2）督导与人才带教：第3、6、9月各完成1次（全年共4次）；</w:t>
            </w:r>
          </w:p>
          <w:p w14:paraId="4BDD584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i w:val="0"/>
                <w:iCs w:val="0"/>
                <w:color w:val="000000"/>
                <w:kern w:val="0"/>
                <w:sz w:val="28"/>
                <w:szCs w:val="28"/>
                <w:highlight w:val="none"/>
                <w:u w:val="none"/>
                <w:lang w:val="en-US" w:eastAsia="zh-CN" w:bidi="ar"/>
              </w:rPr>
              <w:t>（3）市级以上新闻媒体宣传：第2、4、6、8、10月各完成1次（全年共6次，剩余1次在12月完成）。</w:t>
            </w:r>
          </w:p>
          <w:p w14:paraId="7CFDEDC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i w:val="0"/>
                <w:iCs w:val="0"/>
                <w:color w:val="000000"/>
                <w:kern w:val="0"/>
                <w:sz w:val="28"/>
                <w:szCs w:val="28"/>
                <w:highlight w:val="none"/>
                <w:u w:val="none"/>
                <w:lang w:val="en-US" w:eastAsia="zh-CN" w:bidi="ar"/>
              </w:rPr>
              <w:t>（二）第11个月（总结期前段）：指标冲刺与核心成果初产出</w:t>
            </w:r>
          </w:p>
          <w:p w14:paraId="5089657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i w:val="0"/>
                <w:iCs w:val="0"/>
                <w:color w:val="000000"/>
                <w:kern w:val="0"/>
                <w:sz w:val="28"/>
                <w:szCs w:val="28"/>
                <w:highlight w:val="none"/>
                <w:u w:val="none"/>
                <w:lang w:val="en-US" w:eastAsia="zh-CN" w:bidi="ar"/>
              </w:rPr>
              <w:t>在完成当月常规服务基础上，额外完成以下任务：</w:t>
            </w:r>
          </w:p>
          <w:p w14:paraId="68ED82E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i w:val="0"/>
                <w:iCs w:val="0"/>
                <w:color w:val="000000"/>
                <w:kern w:val="0"/>
                <w:sz w:val="28"/>
                <w:szCs w:val="28"/>
                <w:highlight w:val="none"/>
                <w:u w:val="none"/>
                <w:lang w:val="en-US" w:eastAsia="zh-CN" w:bidi="ar"/>
              </w:rPr>
              <w:t>1.指标：完成全域生死教育2场、ACP签署4例、生命故事书2册、四道人生工作坊2场、家庭会议4户、哀伤辅导工作坊2人次；</w:t>
            </w:r>
          </w:p>
          <w:p w14:paraId="2D22E21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i w:val="0"/>
                <w:iCs w:val="0"/>
                <w:color w:val="000000"/>
                <w:kern w:val="0"/>
                <w:sz w:val="28"/>
                <w:szCs w:val="28"/>
                <w:highlight w:val="none"/>
                <w:u w:val="none"/>
                <w:lang w:val="en-US" w:eastAsia="zh-CN" w:bidi="ar"/>
              </w:rPr>
              <w:t>2.专项任务：完成医护心灵SPA第4场、督导与人才带教第4次、市级以上新闻媒体宣传1次；</w:t>
            </w:r>
          </w:p>
          <w:p w14:paraId="7C010D7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i w:val="0"/>
                <w:iCs w:val="0"/>
                <w:color w:val="000000"/>
                <w:kern w:val="0"/>
                <w:sz w:val="28"/>
                <w:szCs w:val="28"/>
                <w:highlight w:val="none"/>
                <w:u w:val="none"/>
                <w:lang w:val="en-US" w:eastAsia="zh-CN" w:bidi="ar"/>
              </w:rPr>
              <w:t>3.物化成果产出：产出《生死教育操作指南》1份；产出《预立医疗照护计划社工推进手册》1份；</w:t>
            </w:r>
          </w:p>
          <w:p w14:paraId="2E5FEE5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i w:val="0"/>
                <w:iCs w:val="0"/>
                <w:color w:val="000000"/>
                <w:kern w:val="0"/>
                <w:sz w:val="28"/>
                <w:szCs w:val="28"/>
                <w:highlight w:val="none"/>
                <w:u w:val="none"/>
                <w:lang w:val="en-US" w:eastAsia="zh-CN" w:bidi="ar"/>
              </w:rPr>
              <w:t>4.视频制作：制作并交付《时光回忆录》视频3个。</w:t>
            </w:r>
          </w:p>
          <w:p w14:paraId="6549AB0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i w:val="0"/>
                <w:iCs w:val="0"/>
                <w:color w:val="000000"/>
                <w:kern w:val="0"/>
                <w:sz w:val="28"/>
                <w:szCs w:val="28"/>
                <w:highlight w:val="none"/>
                <w:u w:val="none"/>
                <w:lang w:val="en-US" w:eastAsia="zh-CN" w:bidi="ar"/>
              </w:rPr>
              <w:t>（三）第12个月（总结期后段）：终期验收与成果展示</w:t>
            </w:r>
          </w:p>
          <w:p w14:paraId="54ED7C9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i w:val="0"/>
                <w:iCs w:val="0"/>
                <w:color w:val="000000"/>
                <w:kern w:val="0"/>
                <w:sz w:val="28"/>
                <w:szCs w:val="28"/>
                <w:highlight w:val="none"/>
                <w:u w:val="none"/>
                <w:lang w:val="en-US" w:eastAsia="zh-CN" w:bidi="ar"/>
              </w:rPr>
              <w:t>1.举办主题影像展1场；</w:t>
            </w:r>
          </w:p>
          <w:p w14:paraId="48F7612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i w:val="0"/>
                <w:iCs w:val="0"/>
                <w:color w:val="000000"/>
                <w:kern w:val="0"/>
                <w:sz w:val="28"/>
                <w:szCs w:val="28"/>
                <w:highlight w:val="none"/>
                <w:u w:val="none"/>
                <w:lang w:val="en-US" w:eastAsia="zh-CN" w:bidi="ar"/>
              </w:rPr>
              <w:t>2.产出《指尖花开生命故事集》1册；</w:t>
            </w:r>
          </w:p>
          <w:p w14:paraId="5E1CF04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i w:val="0"/>
                <w:iCs w:val="0"/>
                <w:color w:val="000000"/>
                <w:kern w:val="0"/>
                <w:sz w:val="28"/>
                <w:szCs w:val="28"/>
                <w:highlight w:val="none"/>
                <w:u w:val="none"/>
                <w:lang w:val="en-US" w:eastAsia="zh-CN" w:bidi="ar"/>
              </w:rPr>
              <w:t>3.制作并交付剩余《时光回忆录》视频2个（全年累计交付5个）；</w:t>
            </w:r>
          </w:p>
          <w:p w14:paraId="602E075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i w:val="0"/>
                <w:iCs w:val="0"/>
                <w:color w:val="000000"/>
                <w:kern w:val="0"/>
                <w:sz w:val="28"/>
                <w:szCs w:val="28"/>
                <w:highlight w:val="none"/>
                <w:u w:val="none"/>
                <w:lang w:val="en-US" w:eastAsia="zh-CN" w:bidi="ar"/>
              </w:rPr>
              <w:t>4.完成市级以上新闻媒体宣传1次（补足全年6次）；</w:t>
            </w:r>
          </w:p>
          <w:p w14:paraId="6435F94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i w:val="0"/>
                <w:iCs w:val="0"/>
                <w:color w:val="000000"/>
                <w:kern w:val="0"/>
                <w:sz w:val="28"/>
                <w:szCs w:val="28"/>
                <w:highlight w:val="none"/>
                <w:u w:val="none"/>
                <w:lang w:val="en-US" w:eastAsia="zh-CN" w:bidi="ar"/>
              </w:rPr>
              <w:t>5.整理全年服务记录与台账资料，配合采购人完成终期验收。</w:t>
            </w:r>
          </w:p>
          <w:p w14:paraId="4E26C82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i w:val="0"/>
                <w:iCs w:val="0"/>
                <w:color w:val="000000"/>
                <w:kern w:val="0"/>
                <w:sz w:val="28"/>
                <w:szCs w:val="28"/>
                <w:highlight w:val="none"/>
                <w:u w:val="none"/>
                <w:lang w:val="en-US" w:eastAsia="zh-CN" w:bidi="ar"/>
              </w:rPr>
              <w:t>（四）相关服务内容</w:t>
            </w:r>
          </w:p>
          <w:p w14:paraId="4D76C41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i w:val="0"/>
                <w:iCs w:val="0"/>
                <w:color w:val="000000"/>
                <w:kern w:val="0"/>
                <w:sz w:val="28"/>
                <w:szCs w:val="28"/>
                <w:highlight w:val="none"/>
                <w:u w:val="none"/>
                <w:lang w:val="en-US" w:eastAsia="zh-CN" w:bidi="ar"/>
              </w:rPr>
              <w:t>1.生死教育：指在社区、养老院及基层医院开展的死亡教育与生命话题探讨。通过布置“生命咖啡馆”等形式，引导居民和长者轻松漫谈生命末期话题，打破社会对死亡的避讳和禁忌，并普及“生前预嘱”理念。</w:t>
            </w:r>
          </w:p>
          <w:p w14:paraId="64C4086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i w:val="0"/>
                <w:iCs w:val="0"/>
                <w:color w:val="000000"/>
                <w:kern w:val="0"/>
                <w:sz w:val="28"/>
                <w:szCs w:val="28"/>
                <w:highlight w:val="none"/>
                <w:u w:val="none"/>
                <w:lang w:val="en-US" w:eastAsia="zh-CN" w:bidi="ar"/>
              </w:rPr>
              <w:t>2.病区芳香疗法：指联合专业芳香治疗师，使用植物精油（如薰衣草、甜橙等）通过吸嗅、抚触或穴位按摩的方式，帮助临终患者快速降低躯体疼痛感和内心焦虑感，使其身心放松，为后续深度沟通创造平静条件。</w:t>
            </w:r>
          </w:p>
          <w:p w14:paraId="230B71C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i w:val="0"/>
                <w:iCs w:val="0"/>
                <w:color w:val="000000"/>
                <w:kern w:val="0"/>
                <w:sz w:val="28"/>
                <w:szCs w:val="28"/>
                <w:highlight w:val="none"/>
                <w:u w:val="none"/>
                <w:lang w:val="en-US" w:eastAsia="zh-CN" w:bidi="ar"/>
              </w:rPr>
              <w:t>3.ACP（预立医疗照护计划）推进：指在患者意识清醒时，社工作为中立第三方，引导患者与家属、医护沟通，让患者提前表达在生命末期（如无法自主呼吸或进食时）希望接受或拒绝哪些抢救措施（如插管、心肺复苏），并协助签署意愿书，以保障患者的生命自主权。</w:t>
            </w:r>
          </w:p>
          <w:p w14:paraId="4FE69EA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i w:val="0"/>
                <w:iCs w:val="0"/>
                <w:color w:val="000000"/>
                <w:kern w:val="0"/>
                <w:sz w:val="28"/>
                <w:szCs w:val="28"/>
                <w:highlight w:val="none"/>
                <w:u w:val="none"/>
                <w:lang w:val="en-US" w:eastAsia="zh-CN" w:bidi="ar"/>
              </w:rPr>
              <w:t>4.生命故事书（叙事个案）：指运用叙事心理治疗技术，社工协助患者翻找老照片、信件等旧物，引导其回忆并口述或撰写人生中的“高光时刻”和重要故事，最终排版制作成一本专属的图文册。帮助患者重新确认生命的意义与价值，感到“这一生没有白活”。</w:t>
            </w:r>
          </w:p>
          <w:p w14:paraId="63CA38A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i w:val="0"/>
                <w:iCs w:val="0"/>
                <w:color w:val="000000"/>
                <w:kern w:val="0"/>
                <w:sz w:val="28"/>
                <w:szCs w:val="28"/>
                <w:highlight w:val="none"/>
                <w:u w:val="none"/>
                <w:lang w:val="en-US" w:eastAsia="zh-CN" w:bidi="ar"/>
              </w:rPr>
              <w:t>5.四道人生工作坊：在患者临终前夕，社工主导召开正式家庭会议，引导患者与家属之间完成“道谢（感谢陪伴）、道歉（宽恕过往遗憾）、道爱（表达深情）、道别（从容放手）”，解开家庭心结，让生命终结时没有遗憾。</w:t>
            </w:r>
          </w:p>
          <w:p w14:paraId="5F95A52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i w:val="0"/>
                <w:iCs w:val="0"/>
                <w:color w:val="000000"/>
                <w:kern w:val="0"/>
                <w:sz w:val="28"/>
                <w:szCs w:val="28"/>
                <w:highlight w:val="none"/>
                <w:u w:val="none"/>
                <w:lang w:val="en-US" w:eastAsia="zh-CN" w:bidi="ar"/>
              </w:rPr>
              <w:t>6.哀伤辅导工作坊：在患者离世后，社工对主要照顾者（家属）进行阶梯式随访。运用沙盘游戏、正念冥想等心理学方法，帮助家属释放悲伤情绪，度过丧失亲人的痛苦期，最终重建正常的生活秩序。</w:t>
            </w:r>
          </w:p>
          <w:p w14:paraId="307545C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i w:val="0"/>
                <w:iCs w:val="0"/>
                <w:color w:val="000000"/>
                <w:kern w:val="0"/>
                <w:sz w:val="28"/>
                <w:szCs w:val="28"/>
                <w:highlight w:val="none"/>
                <w:u w:val="none"/>
                <w:lang w:val="en-US" w:eastAsia="zh-CN" w:bidi="ar"/>
              </w:rPr>
              <w:t>7.《安宁居家转介档案》：当患者病情稳定选择出院回家时，社工将其在医院的ACP意愿、身体照护要点、情绪特征等核心信息整理成一份连续性照护档案，移交给社区全科医生和网格员，确保患者出院后社区能无缝衔接照护。</w:t>
            </w:r>
          </w:p>
          <w:p w14:paraId="6AAC5A7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i w:val="0"/>
                <w:iCs w:val="0"/>
                <w:color w:val="000000"/>
                <w:kern w:val="0"/>
                <w:sz w:val="28"/>
                <w:szCs w:val="28"/>
                <w:highlight w:val="none"/>
                <w:u w:val="none"/>
                <w:lang w:val="en-US" w:eastAsia="zh-CN" w:bidi="ar"/>
              </w:rPr>
              <w:t>8.医护心灵SPA：面向长期直面死亡、易产生职业倦怠的安宁专科医护人员，开展巴林特小组（案例分享减压）、五感疗愈（视听嗅味触放松）等心理减压活动，帮助他们卸下心理疲惫，重拾工作初心。</w:t>
            </w:r>
          </w:p>
        </w:tc>
      </w:tr>
    </w:tbl>
    <w:p w14:paraId="3802DCCA">
      <w:pPr>
        <w:widowControl w:val="0"/>
        <w:numPr>
          <w:ilvl w:val="0"/>
          <w:numId w:val="0"/>
        </w:numPr>
        <w:jc w:val="both"/>
        <w:rPr>
          <w:rFonts w:hint="default"/>
          <w:highlight w:val="none"/>
          <w:lang w:val="en-US" w:eastAsia="zh-CN"/>
        </w:rPr>
      </w:pPr>
    </w:p>
    <w:p w14:paraId="732299AA">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 xml:space="preserve">三、商务需求：（须完全响应）  </w:t>
      </w:r>
    </w:p>
    <w:p w14:paraId="5325924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（一）供应商资格条件</w:t>
      </w:r>
    </w:p>
    <w:p w14:paraId="478718D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一般资质条件</w:t>
      </w:r>
    </w:p>
    <w:p w14:paraId="269C92C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41B38D3F">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59E5C36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F86706B">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700A416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58E4CFE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EEEEFB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29" w:leftChars="0" w:right="0" w:rightChars="0" w:firstLine="643" w:firstLineChars="20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特定资格条件：</w:t>
      </w:r>
    </w:p>
    <w:p w14:paraId="4C711F0A">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29" w:leftChars="0" w:right="0" w:rightChars="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1.资质主体要求：供应商须为依法在民政部门登记成立、主营社会工作服务的社会组织（民办非企业单位）；或在市场监管部门完成登记设立，能够提供社会工作服务、心理咨询、健康咨询等相关业务的法人企业。</w:t>
      </w:r>
    </w:p>
    <w:p w14:paraId="2E6A4BA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29" w:leftChars="0" w:right="0" w:rightChars="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2.人员资质要求：供应商须承诺并出具证明，能够派驻符合以下要求的专业团队：</w:t>
      </w:r>
    </w:p>
    <w:p w14:paraId="7D1C10D3">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29" w:leftChars="0" w:right="0" w:rightChars="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（1）项目负责人：具有社会工作师职业水平证书，且具有3年及以上医务社工、安宁疗护或老年社工领域实务经验。</w:t>
      </w:r>
    </w:p>
    <w:p w14:paraId="59F6D019">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29" w:leftChars="0" w:right="0" w:rightChars="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（2）专职医务社工（3名）：具有助理社会工作师及以上职业水平证书，或持有国家心理咨询师证书、老年人评估师资质。</w:t>
      </w:r>
    </w:p>
    <w:p w14:paraId="337D218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29" w:leftChars="0" w:right="0" w:rightChars="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3.项目经验要求：供应商近三年内（自公告发布之日起前三年），须至少具备1项类似项目业绩（承接过医疗机构内的医务社工服务项目，或承接过全域安宁疗护体系建设、生命教育等政府购买服务项目）。</w:t>
      </w:r>
    </w:p>
    <w:p w14:paraId="477E691E">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29" w:leftChars="0" w:right="0" w:rightChars="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4.信用记录要求：供应商未被列入“信用中国”网站的“失信被执行人”及“重大税收违法失信案件”名单，未被中国政府采购网列入“政府采购严重违法失信行为记录名单”。</w:t>
      </w:r>
    </w:p>
    <w:p w14:paraId="208E953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（二）项目最高限价</w:t>
      </w:r>
    </w:p>
    <w:p w14:paraId="0019FD3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本项目最高限价48000元，</w:t>
      </w:r>
      <w:r>
        <w:rPr>
          <w:rFonts w:hint="eastAsia" w:ascii="方正仿宋_GBK" w:hAnsi="方正仿宋_GBK" w:eastAsia="方正仿宋_GBK" w:cs="方正仿宋_GBK"/>
          <w:color w:val="auto"/>
          <w:kern w:val="0"/>
          <w:sz w:val="32"/>
          <w:szCs w:val="32"/>
          <w:highlight w:val="none"/>
          <w:u w:val="none"/>
          <w:lang w:val="en-US" w:eastAsia="zh-CN"/>
        </w:rPr>
        <w:t>报</w:t>
      </w:r>
      <w:r>
        <w:rPr>
          <w:rFonts w:hint="eastAsia" w:ascii="方正仿宋_GBK" w:hAnsi="方正仿宋_GBK" w:eastAsia="方正仿宋_GBK" w:cs="方正仿宋_GBK"/>
          <w:color w:val="auto"/>
          <w:kern w:val="0"/>
          <w:sz w:val="32"/>
          <w:szCs w:val="32"/>
          <w:highlight w:val="none"/>
          <w:lang w:val="en-US" w:eastAsia="zh-CN"/>
        </w:rPr>
        <w:t>价</w:t>
      </w:r>
      <w:r>
        <w:rPr>
          <w:rFonts w:hint="eastAsia" w:ascii="方正仿宋_GBK" w:hAnsi="方正仿宋_GBK" w:eastAsia="方正仿宋_GBK" w:cs="方正仿宋_GBK"/>
          <w:b w:val="0"/>
          <w:color w:val="auto"/>
          <w:kern w:val="0"/>
          <w:sz w:val="32"/>
          <w:szCs w:val="32"/>
          <w:highlight w:val="none"/>
          <w:lang w:val="en-US" w:eastAsia="zh-CN" w:bidi="ar-SA"/>
        </w:rPr>
        <w:t>包括</w:t>
      </w:r>
      <w:r>
        <w:rPr>
          <w:rFonts w:hint="default" w:ascii="方正仿宋_GBK" w:hAnsi="方正仿宋_GBK" w:eastAsia="方正仿宋_GBK" w:cs="方正仿宋_GBK"/>
          <w:color w:val="auto"/>
          <w:kern w:val="0"/>
          <w:sz w:val="32"/>
          <w:szCs w:val="32"/>
          <w:highlight w:val="none"/>
          <w:lang w:val="en-US" w:eastAsia="zh-CN"/>
        </w:rPr>
        <w:t>但不限于</w:t>
      </w:r>
      <w:r>
        <w:rPr>
          <w:rFonts w:hint="eastAsia" w:ascii="方正仿宋_GBK" w:hAnsi="方正仿宋_GBK" w:eastAsia="方正仿宋_GBK" w:cs="方正仿宋_GBK"/>
          <w:color w:val="auto"/>
          <w:kern w:val="0"/>
          <w:sz w:val="32"/>
          <w:szCs w:val="32"/>
          <w:highlight w:val="none"/>
          <w:lang w:val="en-US" w:eastAsia="zh-CN"/>
        </w:rPr>
        <w:t>项目服务费、配套设备辅材费、资料装订及邮寄费、税费、保险费、验收检测费等完成本项目所需的一切费用</w:t>
      </w:r>
      <w:r>
        <w:rPr>
          <w:rFonts w:hint="default" w:ascii="方正仿宋_GBK" w:hAnsi="方正仿宋_GBK" w:eastAsia="方正仿宋_GBK" w:cs="方正仿宋_GBK"/>
          <w:color w:val="auto"/>
          <w:kern w:val="0"/>
          <w:sz w:val="32"/>
          <w:szCs w:val="32"/>
          <w:highlight w:val="none"/>
          <w:lang w:val="en-US" w:eastAsia="zh-CN"/>
        </w:rPr>
        <w:t>。</w:t>
      </w:r>
      <w:r>
        <w:rPr>
          <w:rFonts w:hint="eastAsia" w:ascii="方正仿宋_GBK" w:hAnsi="方正仿宋_GBK" w:eastAsia="方正仿宋_GBK" w:cs="方正仿宋_GBK"/>
          <w:b w:val="0"/>
          <w:color w:val="auto"/>
          <w:kern w:val="0"/>
          <w:sz w:val="32"/>
          <w:szCs w:val="32"/>
          <w:highlight w:val="none"/>
          <w:lang w:val="en-US" w:eastAsia="zh-CN" w:bidi="ar-SA"/>
        </w:rPr>
        <w:t>因成交供应商自身原因造成漏报、少报皆由其自行承担责任，采购人不再补偿</w:t>
      </w:r>
      <w:r>
        <w:rPr>
          <w:rFonts w:hint="eastAsia" w:ascii="方正仿宋_GBK" w:hAnsi="方正仿宋_GBK" w:eastAsia="方正仿宋_GBK" w:cs="方正仿宋_GBK"/>
          <w:color w:val="auto"/>
          <w:kern w:val="0"/>
          <w:sz w:val="32"/>
          <w:szCs w:val="32"/>
          <w:highlight w:val="none"/>
          <w:lang w:val="en-US" w:eastAsia="zh-CN"/>
        </w:rPr>
        <w:t>。</w:t>
      </w:r>
    </w:p>
    <w:p w14:paraId="0609380A">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（三）合同及交付期限</w:t>
      </w:r>
    </w:p>
    <w:p w14:paraId="65F9EEA7">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000000"/>
          <w:kern w:val="0"/>
          <w:sz w:val="31"/>
          <w:szCs w:val="31"/>
          <w:highlight w:val="none"/>
          <w:lang w:val="en-US" w:eastAsia="zh-CN" w:bidi="ar"/>
        </w:rPr>
      </w:pPr>
      <w:r>
        <w:rPr>
          <w:rFonts w:hint="eastAsia" w:ascii="方正仿宋_GBK" w:hAnsi="方正仿宋_GBK" w:eastAsia="方正仿宋_GBK" w:cs="方正仿宋_GBK"/>
          <w:color w:val="auto"/>
          <w:kern w:val="0"/>
          <w:sz w:val="32"/>
          <w:szCs w:val="32"/>
          <w:highlight w:val="none"/>
          <w:lang w:val="en-US" w:eastAsia="zh-CN"/>
        </w:rPr>
        <w:t>成交供应商在接到成交通知后20日内与采购人签订采购合同和廉政购销协议</w:t>
      </w:r>
      <w:r>
        <w:rPr>
          <w:rFonts w:hint="eastAsia" w:ascii="方正仿宋_GBK" w:eastAsia="方正仿宋_GBK"/>
          <w:kern w:val="0"/>
          <w:szCs w:val="32"/>
          <w:highlight w:val="none"/>
          <w:lang w:eastAsia="zh-CN"/>
        </w:rPr>
        <w:t>，</w:t>
      </w:r>
      <w:r>
        <w:rPr>
          <w:rFonts w:ascii="方正仿宋_GBK" w:hAnsi="方正仿宋_GBK" w:eastAsia="方正仿宋_GBK" w:cs="方正仿宋_GBK"/>
          <w:color w:val="000000"/>
          <w:kern w:val="0"/>
          <w:sz w:val="31"/>
          <w:szCs w:val="31"/>
          <w:highlight w:val="none"/>
          <w:lang w:val="en-US" w:eastAsia="zh-CN" w:bidi="ar"/>
        </w:rPr>
        <w:t>供应商</w:t>
      </w:r>
      <w:r>
        <w:rPr>
          <w:rFonts w:hint="eastAsia" w:ascii="方正仿宋_GBK" w:hAnsi="方正仿宋_GBK" w:eastAsia="方正仿宋_GBK" w:cs="方正仿宋_GBK"/>
          <w:color w:val="000000"/>
          <w:kern w:val="0"/>
          <w:sz w:val="31"/>
          <w:szCs w:val="31"/>
          <w:highlight w:val="none"/>
          <w:lang w:val="en-US" w:eastAsia="zh-CN" w:bidi="ar"/>
        </w:rPr>
        <w:t>应</w:t>
      </w:r>
      <w:r>
        <w:rPr>
          <w:rFonts w:ascii="方正仿宋_GBK" w:hAnsi="方正仿宋_GBK" w:eastAsia="方正仿宋_GBK" w:cs="方正仿宋_GBK"/>
          <w:color w:val="000000"/>
          <w:kern w:val="0"/>
          <w:sz w:val="31"/>
          <w:szCs w:val="31"/>
          <w:highlight w:val="none"/>
          <w:lang w:val="en-US" w:eastAsia="zh-CN" w:bidi="ar"/>
        </w:rPr>
        <w:t>指定销售代表姓名</w:t>
      </w:r>
      <w:r>
        <w:rPr>
          <w:rFonts w:hint="eastAsia" w:ascii="方正仿宋_GBK" w:hAnsi="方正仿宋_GBK" w:eastAsia="方正仿宋_GBK" w:cs="方正仿宋_GBK"/>
          <w:color w:val="000000"/>
          <w:kern w:val="0"/>
          <w:sz w:val="31"/>
          <w:szCs w:val="31"/>
          <w:highlight w:val="none"/>
          <w:lang w:val="en-US" w:eastAsia="zh-CN" w:bidi="ar"/>
        </w:rPr>
        <w:t>及联系方式，不得实施商业贿赂等不良行为。</w:t>
      </w:r>
    </w:p>
    <w:p w14:paraId="0769BAC1">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rPr>
      </w:pPr>
      <w:r>
        <w:rPr>
          <w:rFonts w:hint="eastAsia" w:ascii="方正仿宋_GBK" w:hAnsi="方正仿宋_GBK" w:eastAsia="方正仿宋_GBK" w:cs="方正仿宋_GBK"/>
          <w:b/>
          <w:bCs/>
          <w:color w:val="auto"/>
          <w:sz w:val="32"/>
          <w:szCs w:val="32"/>
          <w:highlight w:val="none"/>
          <w:lang w:val="en-US" w:eastAsia="zh-CN"/>
        </w:rPr>
        <w:t>（四）</w:t>
      </w:r>
      <w:r>
        <w:rPr>
          <w:rFonts w:hint="eastAsia" w:ascii="方正仿宋_GBK" w:hAnsi="方正仿宋_GBK" w:eastAsia="方正仿宋_GBK" w:cs="方正仿宋_GBK"/>
          <w:b/>
          <w:bCs/>
          <w:color w:val="auto"/>
          <w:sz w:val="32"/>
          <w:szCs w:val="32"/>
          <w:highlight w:val="none"/>
        </w:rPr>
        <w:t>付款方式</w:t>
      </w:r>
    </w:p>
    <w:p w14:paraId="55C06C6E">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1.本项目服务费按月度结算（合同总金额的1/12），每月任务量经考核全部完成后，供应商凭等额、合法有效的增值税发票及月度考核记录申请支付当月劳务费。若月度任务量未完全完成，扣除当月劳务费的5%。</w:t>
      </w:r>
    </w:p>
    <w:p w14:paraId="1E689E3D">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2.前11个月劳务费按月度考核结果据实发放；最后1个月劳务费与项目终期验收挂钩。</w:t>
      </w:r>
    </w:p>
    <w:p w14:paraId="100187C9">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3.终期验收通过的，发放最后1个月全额劳务费；终期验收不通过的，扣除最后1个月劳务费的20%，供应商须立即整改，整改验收通过后发放剩余部分。</w:t>
      </w:r>
    </w:p>
    <w:p w14:paraId="7722DF9C">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（五）验收方案</w:t>
      </w:r>
    </w:p>
    <w:p w14:paraId="2646C69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1.月度考核：采购人每月对照合同约定的月度服务内容及服务效果考核标准，对供应商当月任务完成情况进行逐项考核，形成月度考核记录。</w:t>
      </w:r>
    </w:p>
    <w:p w14:paraId="3DC4456F">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2.终期验收：项目服务期满后，由采购人与上级社工部门共同组成验收专家组，对项目整体完成情况进行综合验收，出具书面验收意见。</w:t>
      </w:r>
    </w:p>
    <w:p w14:paraId="685941D4">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（六）服务效果考核</w:t>
      </w:r>
    </w:p>
    <w:p w14:paraId="0DC3DA3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1.数量指标：各项服务内容完成率需达到100%；</w:t>
      </w:r>
    </w:p>
    <w:p w14:paraId="2FD50A2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2.质量指标：服务对象（患者及家属）满意度≥90%；且不能以任何方式途径泄露患者及相关照护者隐私；</w:t>
      </w:r>
    </w:p>
    <w:p w14:paraId="6F44C6E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3.时效指标：按计划进度完成各项服务，发生突发事件需在24小时内响应；</w:t>
      </w:r>
    </w:p>
    <w:p w14:paraId="0114D3C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4.资料管理：服务记录、档案资料齐全，归档率100%。</w:t>
      </w:r>
    </w:p>
    <w:p w14:paraId="638D5E28">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0"/>
          <w:sz w:val="32"/>
          <w:szCs w:val="32"/>
          <w:highlight w:val="none"/>
          <w:lang w:val="en-US" w:eastAsia="zh-CN"/>
          <w14:textFill>
            <w14:solidFill>
              <w14:schemeClr w14:val="tx1"/>
            </w14:solidFill>
          </w14:textFill>
        </w:rPr>
        <w:t>（七）配套服务</w:t>
      </w:r>
    </w:p>
    <w:p w14:paraId="3347B74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1.培训要求</w:t>
      </w:r>
    </w:p>
    <w:p w14:paraId="4398234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（1）项目启动前，供应商需对相关医护人员进行安宁疗护理念及配合流程培训至少1次；</w:t>
      </w:r>
    </w:p>
    <w:p w14:paraId="554048CD">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（2）服务期间，需为医院志愿服务团队提供专业社工技能培训至少2次。</w:t>
      </w:r>
    </w:p>
    <w:p w14:paraId="59E17690">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（八）投标保证金</w:t>
      </w:r>
    </w:p>
    <w:p w14:paraId="508D7942">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32C9190A">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（九）履约保证金</w:t>
      </w:r>
    </w:p>
    <w:p w14:paraId="3DE77E19">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bidi="ar-SA"/>
        </w:rPr>
      </w:pPr>
      <w:r>
        <w:rPr>
          <w:rFonts w:hint="eastAsia" w:ascii="方正仿宋_GBK" w:hAnsi="方正仿宋_GBK" w:eastAsia="方正仿宋_GBK" w:cs="方正仿宋_GBK"/>
          <w:b w:val="0"/>
          <w:bCs w:val="0"/>
          <w:color w:val="auto"/>
          <w:kern w:val="0"/>
          <w:sz w:val="32"/>
          <w:szCs w:val="32"/>
          <w:highlight w:val="none"/>
          <w:lang w:val="en-US" w:eastAsia="zh-CN" w:bidi="ar-SA"/>
        </w:rPr>
        <w:t>中选供应商应在签订合同前，向采购人缴纳项目履约保证金，金额为合同总金额的5%，若供应商未履行采购人要求的全部责任与义务，则全额扣除。</w:t>
      </w:r>
    </w:p>
    <w:p w14:paraId="7B6472C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（十）违约责任</w:t>
      </w:r>
    </w:p>
    <w:p w14:paraId="527D8C81">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1.供应商未按采购人要求时限完成《生死教育操作指南》《ACP推进手册》等核心成果物、未举办主题影像展，每逾期一日承担合同总金额0.5%的违约金，逾期超15日采购人有权拒付最后一次结算费用；</w:t>
      </w:r>
    </w:p>
    <w:p w14:paraId="08280A58">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2.供应商服务引起的纠纷事故，每次承担2000元违约金，同时承担相应的赔偿责任；</w:t>
      </w:r>
    </w:p>
    <w:p w14:paraId="3D05A04F">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3.供应商累计违约达3次以上，采购人有权单方面解除合同。未按配套服务要求提供服务的，供应商承担200元/次的违约金。</w:t>
      </w:r>
    </w:p>
    <w:p w14:paraId="50A47855">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出现下列情况之一的,采购人有权拒绝付款,并有权单方解除合同:</w:t>
      </w:r>
    </w:p>
    <w:p w14:paraId="0EA69952">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①交付和验收整改超期以及供应商主动要求终止合同的。②供应商所供服务出现技术和质量问题，未无条件提出整改措施，或整改效果不达标的。③供应商提供虚假书面材料的(如:资质文件、合格证明等);④供应商未遵守《廉洁购销合同》相关条款的;⑤合同有效期内,未经招标人同意，供应商擅自转让债权变更收款公司信息的。⑥供应商相关资质文件未处于有效期内的(如:营业执照、许可证、授权委托书等);⑦供应商提供的服务与合同约定或响应文件载明内容不一致的;⑧一个年度供应商连续发生5次违约行为的;⑨</w:t>
      </w:r>
      <w:r>
        <w:rPr>
          <w:rFonts w:hint="eastAsia" w:ascii="方正仿宋_GBK" w:hAnsi="方正仿宋_GBK" w:eastAsia="方正仿宋_GBK" w:cs="方正仿宋_GBK"/>
          <w:color w:val="auto"/>
          <w:sz w:val="32"/>
          <w:szCs w:val="32"/>
          <w:highlight w:val="none"/>
          <w:lang w:val="en-US" w:eastAsia="zh-CN"/>
        </w:rPr>
        <w:t>供应商及提供服务发生泄漏医院数据及患者隐私事件，采购人有权解除合同</w:t>
      </w:r>
      <w:r>
        <w:rPr>
          <w:rFonts w:hint="eastAsia" w:ascii="方正仿宋_GBK" w:hAnsi="方正仿宋_GBK" w:eastAsia="方正仿宋_GBK" w:cs="方正仿宋_GBK"/>
          <w:color w:val="auto"/>
          <w:kern w:val="0"/>
          <w:sz w:val="32"/>
          <w:szCs w:val="32"/>
          <w:highlight w:val="none"/>
          <w:lang w:val="en-US" w:eastAsia="zh-CN"/>
        </w:rPr>
        <w:t>并要求供应商返还已支付款项并承担合同金额1倍的违约金;⑩使用中发现供应商提供的服务存在质量或安全问题供应商未立即整改，采购人有权解除合同并要求供应商承担项目金额2倍违约金;</w:t>
      </w:r>
      <w:r>
        <w:rPr>
          <w:rFonts w:hint="eastAsia" w:ascii="微软雅黑" w:hAnsi="微软雅黑" w:eastAsia="微软雅黑" w:cs="微软雅黑"/>
          <w:color w:val="auto"/>
          <w:kern w:val="0"/>
          <w:sz w:val="32"/>
          <w:szCs w:val="32"/>
          <w:highlight w:val="none"/>
          <w:lang w:val="en-US" w:eastAsia="zh-CN"/>
        </w:rPr>
        <w:t>⑪</w:t>
      </w:r>
      <w:r>
        <w:rPr>
          <w:rFonts w:hint="eastAsia" w:ascii="方正仿宋_GBK" w:hAnsi="方正仿宋_GBK" w:eastAsia="方正仿宋_GBK" w:cs="方正仿宋_GBK"/>
          <w:color w:val="auto"/>
          <w:kern w:val="0"/>
          <w:sz w:val="32"/>
          <w:szCs w:val="32"/>
          <w:highlight w:val="none"/>
          <w:lang w:val="en-US" w:eastAsia="zh-CN"/>
        </w:rPr>
        <w:t>供应商交付前明知存在缺陷仍继续交付或交付后知晓缺陷未及时通知采购人并整改，采购人有权解除合同并要求供应商承担项目金额3倍违约金;因上述供应商原因导致采购人解除合同的，没有特殊约定的采购人有权要求供应商承担不低于合同结算总金额30%的违约金，有特殊约定的按照特殊约定执行。</w:t>
      </w:r>
    </w:p>
    <w:p w14:paraId="192BE292">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因供应商及提供服务原因引发纠纷、造成</w:t>
      </w:r>
      <w:r>
        <w:rPr>
          <w:rFonts w:hint="eastAsia" w:ascii="方正仿宋_GBK" w:hAnsi="方正仿宋_GBK" w:eastAsia="方正仿宋_GBK" w:cs="方正仿宋_GBK"/>
          <w:color w:val="auto"/>
          <w:sz w:val="32"/>
          <w:szCs w:val="32"/>
          <w:highlight w:val="none"/>
          <w:lang w:val="en-US" w:eastAsia="zh-CN"/>
        </w:rPr>
        <w:t>采购人损失、受到处罚的（如供应商拒绝履约、在提供服务过程中损害采购人利益、供应商违纪违法行为、供应商提供服务造成不良影响），应赔偿对采购人造成的直接和间接损失全额损失及承担相应法律责任。合同履行期间发生争议，协商无果由重庆市璧山区人民法院裁决。</w:t>
      </w:r>
    </w:p>
    <w:p w14:paraId="67198083">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3"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（十一）其他要求</w:t>
      </w:r>
    </w:p>
    <w:p w14:paraId="45764254">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 供应商需自行提供办公设备用品；</w:t>
      </w:r>
    </w:p>
    <w:p w14:paraId="5E34166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 在医院开展业务需遵守医院规章制度，不得误导患者服务主体为第三方而非医院；</w:t>
      </w:r>
    </w:p>
    <w:p w14:paraId="2D184263">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 服务记录月度交归口职能部门核实备案；</w:t>
      </w:r>
    </w:p>
    <w:p w14:paraId="40538B80">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 票据要求：每次申请付款前须提供等额、合法有效的增值税发票。</w:t>
      </w:r>
    </w:p>
    <w:p w14:paraId="5775C32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 知识产权：项目执行过程中产生的所有成果（指南、手册、故事集、视频、数据等）知识产权及所有权均归医院所有，机构不得擅自商用或公开发表。</w:t>
      </w:r>
    </w:p>
    <w:p w14:paraId="4BB538B6">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 人员劳动关系：派驻社工及志愿者劳动关系隶属于供应商，由供应商承担用工责任、保险及工伤风险，保证团队稳定性。</w:t>
      </w:r>
    </w:p>
    <w:p w14:paraId="4F0A6F3A">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 安全与保险：供应商须为派驻人员及志愿者购买意外伤害险及职业责任险；居家访视须执行“双人入户”制度。</w:t>
      </w:r>
    </w:p>
    <w:p w14:paraId="7003F26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 保密要求：严格对患者信息进行脱敏处理，保密义务不因合同终止而失效。</w:t>
      </w:r>
    </w:p>
    <w:p w14:paraId="3946C2AE">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9. 审计监督：医院有权查阅服务台账及财务明细，项目结束后有权实施专项审计。</w:t>
      </w:r>
    </w:p>
    <w:p w14:paraId="4B2F6CC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3"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（十二）</w:t>
      </w:r>
      <w:r>
        <w:rPr>
          <w:rFonts w:hint="eastAsia" w:ascii="方正仿宋_GBK" w:hAnsi="方正仿宋_GBK" w:eastAsia="方正仿宋_GBK" w:cs="方正仿宋_GBK"/>
          <w:b/>
          <w:bCs/>
          <w:color w:val="auto"/>
          <w:sz w:val="32"/>
          <w:szCs w:val="32"/>
          <w:highlight w:val="none"/>
          <w:lang w:val="en-US" w:eastAsia="zh-CN"/>
        </w:rPr>
        <w:t>无效响应情况（供应商投标前务必逐项核对）</w:t>
      </w:r>
    </w:p>
    <w:p w14:paraId="5E3F60C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1.供应商不符合规定的基本资格条件或特定资格条件；</w:t>
      </w:r>
    </w:p>
    <w:p w14:paraId="31CC223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2.最低评标价法不能完全满足技术要求、商务要求的；</w:t>
      </w:r>
    </w:p>
    <w:p w14:paraId="65A55E6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3.供应商响应文件内容、目录及页码不全；</w:t>
      </w:r>
    </w:p>
    <w:p w14:paraId="5472B7A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4.供应商营业执照未圈出经营范围、有效期的；</w:t>
      </w:r>
    </w:p>
    <w:p w14:paraId="1A7EB85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5.供应商的报价超过采购总限价和分项限价的；</w:t>
      </w:r>
    </w:p>
    <w:p w14:paraId="15523A9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6.供应商所提交的响应文件未按采购人要求签字、盖章、份数的；</w:t>
      </w:r>
    </w:p>
    <w:p w14:paraId="433314ED">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7.供应商响应文件提供图片资料的，图片未占A4纸约 3/4 页面排版（便于采购人看清图片内容）</w:t>
      </w:r>
    </w:p>
    <w:p w14:paraId="1658311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8.技术要求对照表佐证材料未按采购人附件要求标注信息所在具体页码并用用下划线标注所在位置（方便采购人及评审专家查阅，减少评审时间）；</w:t>
      </w:r>
    </w:p>
    <w:p w14:paraId="00264AA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9.一般技术参数提供佐证支撑材料，如技术白皮书、产品说明书、产品彩页宣传、生产厂家官网截图及下载链接网址；有“*”的技术参数需要提供供应商加盖鲜章的第三方检测报告，检测报告须完整体现招标文件*参数的检测结果。故意不提供或提供虚假的佐证材料视为无效响应；</w:t>
      </w:r>
    </w:p>
    <w:p w14:paraId="7CCC18B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10.供应商响应文件内容有与国家现行法律法规相违背的内容，或附有采购人无法接受的条件；</w:t>
      </w:r>
    </w:p>
    <w:p w14:paraId="29991C70">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11.法定代表人为同一个人的两个及两个以上法人，母公司、全资子公司及其控股公司，在同一分包采购中同时参与投标；</w:t>
      </w:r>
    </w:p>
    <w:p w14:paraId="29FCAE0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12.分公司单独投标未取得总公司的授权；</w:t>
      </w:r>
    </w:p>
    <w:p w14:paraId="215FE0D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13.单位负责人为同一人或者存在直接控股、管理关系的不同供应商，参加同一合同项下的政府采购活动的；</w:t>
      </w:r>
    </w:p>
    <w:p w14:paraId="637D83B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14.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68618D23">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四.其他要求</w:t>
      </w:r>
    </w:p>
    <w:p w14:paraId="0F4E5F72">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（一）合同终止情形</w:t>
      </w:r>
    </w:p>
    <w:p w14:paraId="48541E4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1.合同周期内供应商出现3次及以上违约行为；</w:t>
      </w:r>
    </w:p>
    <w:p w14:paraId="0AFE0D9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2.供应商存在廉洁违纪行为；</w:t>
      </w:r>
    </w:p>
    <w:p w14:paraId="3AB7E21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3.供应商主动放弃等；</w:t>
      </w:r>
    </w:p>
    <w:p w14:paraId="0F5B8A8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4.出现严重伦理违规、隐私泄露或安全责任事故；</w:t>
      </w:r>
    </w:p>
    <w:p w14:paraId="635977FF">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5.非不可抗力原因单方面停止服务。</w:t>
      </w:r>
    </w:p>
    <w:p w14:paraId="00557A0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（二）中选标准</w:t>
      </w:r>
    </w:p>
    <w:p w14:paraId="54F7ED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本项目采用最低评标价法评选。如超出投标报价、未在规定的时间内上交资料及资料不齐全的为无效报价。</w:t>
      </w:r>
    </w:p>
    <w:p w14:paraId="667E47B7">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（三）废标或流标情形</w:t>
      </w:r>
    </w:p>
    <w:p w14:paraId="622BF9A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（1）首次询价无3家有效供应商；第二次有效供应商至少1家不做流标处理；</w:t>
      </w:r>
    </w:p>
    <w:p w14:paraId="00190F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（2）供应商不能在规定时限内对响应材料的真实性和合理性进行说明；</w:t>
      </w:r>
    </w:p>
    <w:p w14:paraId="70A8D13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（3）供应商存在围标、串标等违法行为；</w:t>
      </w:r>
    </w:p>
    <w:p w14:paraId="2C4EFEB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（4）中选供应商存在虚假响应。</w:t>
      </w:r>
    </w:p>
    <w:p w14:paraId="1DB65F0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（四）供应商有以下情形之一的，将纳入采购人不良行为记录，采购人将终止与供应商合同，并取消其两年内参加采购人的药品、设备、耗材招标投标的资格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highlight w:val="none"/>
          <w:lang w:val="en-US" w:eastAsia="zh-CN"/>
        </w:rPr>
        <w:t>：</w:t>
      </w:r>
    </w:p>
    <w:p w14:paraId="2E6EDFE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（1）经人民法院判决认定构成行贿犯罪，或者犯罪情节轻微，不需要判处刑罚，人民法院依据刑罚判处免于刑事处罚的；</w:t>
      </w:r>
    </w:p>
    <w:p w14:paraId="67D2221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（2）行贿行为情节轻微，人民检察院作出不起诉决定的；</w:t>
      </w:r>
    </w:p>
    <w:p w14:paraId="78145D6D">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（3）被纪检监察机关以贿赂立案调查，并依法作出相关处理的；</w:t>
      </w:r>
    </w:p>
    <w:p w14:paraId="77A7AEAF">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（4）被列入国家、市卫生健康行政部门政务网站公布的商业贿赂不良记录名单的；</w:t>
      </w:r>
    </w:p>
    <w:p w14:paraId="30A50F6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（5）被列入国家医疗保障局网站公布的价格招采信用评价“特别严重”和“严重”失信评定结果名单的；</w:t>
      </w:r>
    </w:p>
    <w:p w14:paraId="277AB4D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（6）因行贿、违法经营等行为被财政、工商行政管理、食品药品监管等部门列入不良执业记录或作出行政处罚的；</w:t>
      </w:r>
    </w:p>
    <w:p w14:paraId="790A506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（7）因串通投标、无正当理由不与采购人签订合同、提供虚假材料谋取中标、中标后提供假冒伪劣产品或无正当理由拒绝履行协议等严重违法失信行为的；</w:t>
      </w:r>
    </w:p>
    <w:p w14:paraId="33F5B9A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（8）法律、法规、规章规定的其他情形。</w:t>
      </w:r>
    </w:p>
    <w:p w14:paraId="6A35B054">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（五）其他注意事项</w:t>
      </w:r>
    </w:p>
    <w:p w14:paraId="4E942A0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36922CB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（2）无论招标结果如何，供应商参与本项目的所有费用均自行承担；</w:t>
      </w:r>
    </w:p>
    <w:p w14:paraId="7D431B5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（3）本次采购过程中如产生专家评审等相关费用将由成交供应商承担；</w:t>
      </w:r>
    </w:p>
    <w:p w14:paraId="0FF9BE6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（4）成交供应商未在规定时间内签订合同、拒绝签订履行采购合同的，采购人将纳入供应商不良行为记录进行管理；</w:t>
      </w:r>
    </w:p>
    <w:p w14:paraId="4AC88A7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（5）其他未尽事宜由供需双方在采购合同中详细约定；</w:t>
      </w:r>
    </w:p>
    <w:p w14:paraId="1ACEF72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（6）本项目不接受联合体参与投标；</w:t>
      </w:r>
    </w:p>
    <w:p w14:paraId="6B5102D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0FD62B8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（8）如投标人违反《中华人民共和国政府采购法》《中华人民共和国政府采购实施条例》等相关规定，采购人将按规定追究投标人法律责任。</w:t>
      </w:r>
    </w:p>
    <w:p w14:paraId="7032B4E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（9）如采购人发现供应商投标文件中出现围串标行为，投标响应供应商应配合采购人提供相应资料进行调查（包括响应原始文件WORD版本）。</w:t>
      </w:r>
    </w:p>
    <w:p w14:paraId="3EE103E2">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default" w:ascii="方正仿宋_GBK" w:hAnsi="方正仿宋_GBK" w:eastAsia="方正仿宋_GBK" w:cs="方正仿宋_GBK"/>
          <w:b/>
          <w:bCs/>
          <w:color w:val="auto"/>
          <w:kern w:val="0"/>
          <w:sz w:val="32"/>
          <w:szCs w:val="32"/>
          <w:highlight w:val="none"/>
          <w:lang w:val="en-US" w:eastAsia="zh-CN"/>
        </w:rPr>
        <w:drawing>
          <wp:anchor distT="0" distB="0" distL="114300" distR="114300" simplePos="0" relativeHeight="251659264" behindDoc="0" locked="0" layoutInCell="1" allowOverlap="1">
            <wp:simplePos x="0" y="0"/>
            <wp:positionH relativeFrom="column">
              <wp:posOffset>196215</wp:posOffset>
            </wp:positionH>
            <wp:positionV relativeFrom="paragraph">
              <wp:posOffset>681990</wp:posOffset>
            </wp:positionV>
            <wp:extent cx="2541270" cy="3315970"/>
            <wp:effectExtent l="0" t="0" r="11430" b="17780"/>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4"/>
                    <a:srcRect/>
                    <a:stretch>
                      <a:fillRect/>
                    </a:stretch>
                  </pic:blipFill>
                  <pic:spPr>
                    <a:xfrm>
                      <a:off x="0" y="0"/>
                      <a:ext cx="2541270" cy="3315970"/>
                    </a:xfrm>
                    <a:prstGeom prst="rect">
                      <a:avLst/>
                    </a:prstGeom>
                  </pic:spPr>
                </pic:pic>
              </a:graphicData>
            </a:graphic>
          </wp:anchor>
        </w:drawing>
      </w:r>
      <w:r>
        <w:rPr>
          <w:rFonts w:hint="eastAsia" w:ascii="方正仿宋_GBK" w:hAnsi="方正仿宋_GBK" w:eastAsia="方正仿宋_GBK" w:cs="方正仿宋_GBK"/>
          <w:b/>
          <w:bCs/>
          <w:color w:val="auto"/>
          <w:kern w:val="0"/>
          <w:sz w:val="32"/>
          <w:szCs w:val="32"/>
          <w:highlight w:val="none"/>
          <w:lang w:val="en-US" w:eastAsia="zh-CN"/>
        </w:rPr>
        <w:t>（六）投标档案袋密封要求（务必密封严实，密封不严采购人有权拒绝接收），如下图：</w:t>
      </w:r>
    </w:p>
    <w:p w14:paraId="01B50879">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textAlignment w:val="auto"/>
        <w:rPr>
          <w:rFonts w:hint="eastAsia" w:ascii="方正仿宋_GBK" w:hAnsi="方正仿宋_GBK" w:eastAsia="方正仿宋_GBK" w:cs="方正仿宋_GBK"/>
          <w:color w:val="auto"/>
          <w:kern w:val="0"/>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default"/>
          <w:highlight w:val="none"/>
          <w:lang w:val="en-US" w:eastAsia="zh-CN"/>
        </w:rPr>
        <w:drawing>
          <wp:anchor distT="0" distB="0" distL="114300" distR="114300" simplePos="0" relativeHeight="251660288" behindDoc="0" locked="0" layoutInCell="1" allowOverlap="1">
            <wp:simplePos x="0" y="0"/>
            <wp:positionH relativeFrom="column">
              <wp:posOffset>99695</wp:posOffset>
            </wp:positionH>
            <wp:positionV relativeFrom="paragraph">
              <wp:posOffset>69215</wp:posOffset>
            </wp:positionV>
            <wp:extent cx="2572385" cy="3280410"/>
            <wp:effectExtent l="0" t="0" r="18415" b="15240"/>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5"/>
                    <a:stretch>
                      <a:fillRect/>
                    </a:stretch>
                  </pic:blipFill>
                  <pic:spPr>
                    <a:xfrm>
                      <a:off x="0" y="0"/>
                      <a:ext cx="2572385" cy="3280410"/>
                    </a:xfrm>
                    <a:prstGeom prst="rect">
                      <a:avLst/>
                    </a:prstGeom>
                  </pic:spPr>
                </pic:pic>
              </a:graphicData>
            </a:graphic>
          </wp:anchor>
        </w:drawing>
      </w:r>
    </w:p>
    <w:p w14:paraId="79866315">
      <w:pPr>
        <w:autoSpaceDE w:val="0"/>
        <w:autoSpaceDN w:val="0"/>
        <w:adjustRightInd w:val="0"/>
        <w:snapToGrid w:val="0"/>
        <w:spacing w:line="360" w:lineRule="auto"/>
        <w:jc w:val="center"/>
        <w:rPr>
          <w:rFonts w:hint="eastAsia" w:ascii="仿宋_GB2312" w:hAnsi="宋体" w:eastAsia="仿宋_GB2312" w:cs="宋体"/>
          <w:b/>
          <w:bCs/>
          <w:sz w:val="44"/>
          <w:szCs w:val="44"/>
          <w:highlight w:val="none"/>
          <w:lang w:val="en-US" w:eastAsia="zh-CN"/>
        </w:rPr>
      </w:pPr>
      <w:r>
        <w:rPr>
          <w:rFonts w:hint="eastAsia" w:ascii="仿宋_GB2312" w:hAnsi="宋体" w:eastAsia="仿宋_GB2312" w:cs="宋体"/>
          <w:b/>
          <w:bCs/>
          <w:sz w:val="44"/>
          <w:szCs w:val="44"/>
          <w:highlight w:val="none"/>
          <w:lang w:val="en-US" w:eastAsia="zh-CN"/>
        </w:rPr>
        <w:t>投标书</w:t>
      </w:r>
    </w:p>
    <w:p w14:paraId="5EE6296E">
      <w:pPr>
        <w:autoSpaceDE w:val="0"/>
        <w:autoSpaceDN w:val="0"/>
        <w:adjustRightInd w:val="0"/>
        <w:snapToGrid w:val="0"/>
        <w:spacing w:line="360" w:lineRule="auto"/>
        <w:rPr>
          <w:rFonts w:ascii="仿宋_GB2312" w:hAnsi="宋体" w:eastAsia="仿宋_GB2312" w:cs="宋体"/>
          <w:sz w:val="32"/>
          <w:szCs w:val="32"/>
          <w:highlight w:val="none"/>
          <w:lang w:val="zh-CN"/>
        </w:rPr>
      </w:pPr>
      <w:r>
        <w:rPr>
          <w:rFonts w:hint="eastAsia" w:ascii="仿宋_GB2312" w:hAnsi="宋体" w:eastAsia="仿宋_GB2312" w:cs="宋体"/>
          <w:sz w:val="32"/>
          <w:szCs w:val="32"/>
          <w:highlight w:val="none"/>
          <w:lang w:val="zh-CN"/>
        </w:rPr>
        <w:t>重庆</w:t>
      </w:r>
      <w:r>
        <w:rPr>
          <w:rFonts w:hint="eastAsia" w:ascii="仿宋_GB2312" w:hAnsi="宋体" w:eastAsia="仿宋_GB2312" w:cs="宋体"/>
          <w:sz w:val="32"/>
          <w:szCs w:val="32"/>
          <w:highlight w:val="none"/>
          <w:lang w:val="en-US" w:eastAsia="zh-CN"/>
        </w:rPr>
        <w:t>市璧山区人民医院</w:t>
      </w:r>
      <w:r>
        <w:rPr>
          <w:rFonts w:hint="eastAsia" w:ascii="仿宋_GB2312" w:hAnsi="宋体" w:eastAsia="仿宋_GB2312" w:cs="宋体"/>
          <w:sz w:val="32"/>
          <w:szCs w:val="32"/>
          <w:highlight w:val="none"/>
          <w:lang w:val="zh-CN"/>
        </w:rPr>
        <w:t>：</w:t>
      </w:r>
    </w:p>
    <w:p w14:paraId="0DB5D6CC">
      <w:pPr>
        <w:autoSpaceDE w:val="0"/>
        <w:autoSpaceDN w:val="0"/>
        <w:adjustRightInd w:val="0"/>
        <w:snapToGrid w:val="0"/>
        <w:spacing w:line="360" w:lineRule="auto"/>
        <w:ind w:firstLine="640" w:firstLineChars="200"/>
        <w:rPr>
          <w:rFonts w:ascii="仿宋_GB2312" w:eastAsia="仿宋_GB2312"/>
          <w:b/>
          <w:bCs/>
          <w:color w:val="auto"/>
          <w:sz w:val="32"/>
          <w:szCs w:val="32"/>
          <w:highlight w:val="none"/>
          <w:lang w:val="zh-CN"/>
        </w:rPr>
      </w:pPr>
      <w:r>
        <w:rPr>
          <w:rFonts w:hint="eastAsia" w:ascii="仿宋_GB2312" w:hAnsi="宋体" w:eastAsia="仿宋_GB2312" w:cs="宋体"/>
          <w:sz w:val="32"/>
          <w:szCs w:val="32"/>
          <w:highlight w:val="none"/>
          <w:lang w:val="zh-CN"/>
        </w:rPr>
        <w:t>我们收到贵院</w:t>
      </w:r>
      <w:r>
        <w:rPr>
          <w:rFonts w:hint="eastAsia" w:ascii="仿宋_GB2312" w:hAnsi="宋体" w:eastAsia="仿宋_GB2312" w:cs="宋体"/>
          <w:sz w:val="32"/>
          <w:szCs w:val="32"/>
          <w:highlight w:val="none"/>
          <w:u w:val="single"/>
          <w:lang w:val="zh-CN"/>
        </w:rPr>
        <w:t xml:space="preserve">                     </w:t>
      </w:r>
      <w:r>
        <w:rPr>
          <w:rFonts w:hint="eastAsia" w:ascii="仿宋_GB2312" w:hAnsi="宋体" w:eastAsia="仿宋_GB2312" w:cs="宋体"/>
          <w:sz w:val="32"/>
          <w:szCs w:val="32"/>
          <w:highlight w:val="none"/>
          <w:lang w:val="zh-CN"/>
        </w:rPr>
        <w:t>的邀标文件（编号              ），经详细研究，愿意参加投标。提交下述文件</w:t>
      </w:r>
      <w:r>
        <w:rPr>
          <w:rFonts w:hint="eastAsia" w:ascii="仿宋_GB2312" w:hAnsi="宋体" w:eastAsia="仿宋_GB2312" w:cs="宋体"/>
          <w:b/>
          <w:bCs/>
          <w:color w:val="auto"/>
          <w:sz w:val="32"/>
          <w:szCs w:val="32"/>
          <w:highlight w:val="none"/>
          <w:u w:val="single"/>
          <w:lang w:val="zh-CN"/>
        </w:rPr>
        <w:t>正本一份，副本三份。</w:t>
      </w:r>
      <w:r>
        <w:rPr>
          <w:rFonts w:hint="eastAsia" w:ascii="仿宋_GB2312" w:hAnsi="宋体" w:eastAsia="仿宋_GB2312" w:cs="宋体"/>
          <w:b/>
          <w:bCs/>
          <w:color w:val="auto"/>
          <w:sz w:val="32"/>
          <w:szCs w:val="32"/>
          <w:highlight w:val="none"/>
          <w:lang w:val="zh-CN"/>
        </w:rPr>
        <w:t>文件包括：</w:t>
      </w:r>
      <w:r>
        <w:rPr>
          <w:rFonts w:hint="eastAsia" w:ascii="方正仿宋_GBK" w:hAnsi="方正仿宋_GBK" w:eastAsia="方正仿宋_GBK" w:cs="方正仿宋_GBK"/>
          <w:color w:val="auto"/>
          <w:kern w:val="0"/>
          <w:sz w:val="32"/>
          <w:szCs w:val="32"/>
          <w:highlight w:val="none"/>
          <w:lang w:val="zh-CN" w:eastAsia="zh-CN"/>
        </w:rPr>
        <w:t>（</w:t>
      </w:r>
      <w:r>
        <w:rPr>
          <w:rFonts w:hint="eastAsia" w:ascii="方正仿宋_GBK" w:hAnsi="方正仿宋_GBK" w:eastAsia="方正仿宋_GBK" w:cs="方正仿宋_GBK"/>
          <w:color w:val="auto"/>
          <w:kern w:val="0"/>
          <w:sz w:val="32"/>
          <w:szCs w:val="32"/>
          <w:highlight w:val="none"/>
          <w:lang w:val="en-US" w:eastAsia="zh-CN"/>
        </w:rPr>
        <w:t>注供应商提交的响应文件未按询价文件要求签字、盖章、份数、顺序、内容，视为无效投标）</w:t>
      </w:r>
    </w:p>
    <w:p w14:paraId="2C7F8756">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1.一般</w:t>
      </w:r>
      <w:r>
        <w:rPr>
          <w:rFonts w:hint="eastAsia" w:ascii="仿宋_GB2312" w:hAnsi="宋体" w:eastAsia="仿宋_GB2312" w:cs="宋体"/>
          <w:kern w:val="2"/>
          <w:sz w:val="32"/>
          <w:szCs w:val="32"/>
          <w:highlight w:val="none"/>
          <w:lang w:val="en-US" w:eastAsia="zh-CN" w:bidi="ar-SA"/>
        </w:rPr>
        <w:t>资格条件</w:t>
      </w:r>
      <w:r>
        <w:rPr>
          <w:rFonts w:hint="eastAsia" w:ascii="仿宋_GB2312" w:eastAsia="仿宋_GB2312" w:cs="宋体"/>
          <w:kern w:val="2"/>
          <w:sz w:val="32"/>
          <w:szCs w:val="32"/>
          <w:highlight w:val="none"/>
          <w:lang w:val="en-US" w:eastAsia="zh-CN" w:bidi="ar-SA"/>
        </w:rPr>
        <w:t>（营业执照和承诺函）</w:t>
      </w:r>
    </w:p>
    <w:p w14:paraId="2B7DF2F5">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zh-CN" w:eastAsia="zh-CN" w:bidi="ar-SA"/>
        </w:rPr>
      </w:pPr>
      <w:r>
        <w:rPr>
          <w:rFonts w:hint="eastAsia" w:ascii="仿宋_GB2312" w:eastAsia="仿宋_GB2312" w:cs="宋体"/>
          <w:kern w:val="2"/>
          <w:sz w:val="32"/>
          <w:szCs w:val="32"/>
          <w:highlight w:val="none"/>
          <w:lang w:val="en-US" w:eastAsia="zh-CN" w:bidi="ar-SA"/>
        </w:rPr>
        <w:t>2.特定资格条件</w:t>
      </w:r>
    </w:p>
    <w:p w14:paraId="5492345D">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3.法定代表人身份证明书</w:t>
      </w:r>
    </w:p>
    <w:p w14:paraId="72E1768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4.投标人法定代表人授权委托书</w:t>
      </w:r>
    </w:p>
    <w:p w14:paraId="06B9031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5.报价表及明细表</w:t>
      </w:r>
    </w:p>
    <w:p w14:paraId="329A0E95">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6.技术参数对照表及佐证材料</w:t>
      </w:r>
    </w:p>
    <w:p w14:paraId="5CFA93EA">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7.商务要求对照表</w:t>
      </w:r>
    </w:p>
    <w:p w14:paraId="063CA8A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8.本项目其他采购人的业绩资料</w:t>
      </w:r>
    </w:p>
    <w:p w14:paraId="7ECF04E1">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9.其他可以证明投标人有能力完成本项目的佐证材料</w:t>
      </w:r>
    </w:p>
    <w:p w14:paraId="0F049124">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10.供应商自愿提供其他资料</w:t>
      </w:r>
    </w:p>
    <w:p w14:paraId="7FA4E1B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11.配套服务承诺</w:t>
      </w:r>
    </w:p>
    <w:p w14:paraId="7A355ED6">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12</w:t>
      </w:r>
      <w:r>
        <w:rPr>
          <w:rFonts w:hint="eastAsia" w:ascii="仿宋_GB2312" w:hAnsi="宋体" w:eastAsia="仿宋_GB2312" w:cs="宋体"/>
          <w:kern w:val="2"/>
          <w:sz w:val="32"/>
          <w:szCs w:val="32"/>
          <w:highlight w:val="none"/>
          <w:lang w:val="en-US" w:eastAsia="zh-CN" w:bidi="ar-SA"/>
        </w:rPr>
        <w:t>.投标廉政承诺书</w:t>
      </w:r>
    </w:p>
    <w:p w14:paraId="01E82F5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p>
    <w:p w14:paraId="5DCC9869">
      <w:pPr>
        <w:ind w:firstLine="640" w:firstLineChars="200"/>
        <w:jc w:val="right"/>
        <w:rPr>
          <w:rFonts w:ascii="仿宋_GB2312" w:eastAsia="仿宋_GB2312"/>
          <w:color w:val="auto"/>
          <w:sz w:val="32"/>
          <w:szCs w:val="32"/>
          <w:highlight w:val="none"/>
          <w:lang w:val="zh-CN"/>
        </w:rPr>
      </w:pPr>
      <w:r>
        <w:rPr>
          <w:rFonts w:hint="eastAsia" w:ascii="仿宋_GB2312"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投标单位（盖章）：</w:t>
      </w:r>
      <w:r>
        <w:rPr>
          <w:rFonts w:hint="eastAsia" w:ascii="仿宋_GB2312" w:hAnsi="宋体"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 xml:space="preserve">          </w:t>
      </w:r>
    </w:p>
    <w:p w14:paraId="33B8AB35">
      <w:pPr>
        <w:autoSpaceDE w:val="0"/>
        <w:autoSpaceDN w:val="0"/>
        <w:adjustRightInd w:val="0"/>
        <w:snapToGrid w:val="0"/>
        <w:spacing w:line="360" w:lineRule="auto"/>
        <w:ind w:right="480" w:firstLine="6240" w:firstLineChars="1950"/>
        <w:jc w:val="right"/>
        <w:rPr>
          <w:rFonts w:hint="eastAsia"/>
          <w:highlight w:val="none"/>
          <w:lang w:val="zh-CN"/>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宋体"/>
          <w:color w:val="auto"/>
          <w:sz w:val="32"/>
          <w:szCs w:val="32"/>
          <w:highlight w:val="none"/>
          <w:lang w:val="zh-CN"/>
        </w:rPr>
        <w:t xml:space="preserve">年    月 </w:t>
      </w:r>
      <w:r>
        <w:rPr>
          <w:rFonts w:hint="eastAsia" w:ascii="仿宋_GB2312" w:hAnsi="宋体" w:eastAsia="仿宋_GB2312" w:cs="宋体"/>
          <w:color w:val="auto"/>
          <w:sz w:val="32"/>
          <w:szCs w:val="32"/>
          <w:highlight w:val="none"/>
          <w:lang w:val="en-US" w:eastAsia="zh-CN"/>
        </w:rPr>
        <w:t xml:space="preserve">  日</w:t>
      </w:r>
      <w:r>
        <w:rPr>
          <w:rFonts w:hint="eastAsia" w:ascii="仿宋_GB2312" w:hAnsi="宋体" w:eastAsia="仿宋_GB2312" w:cs="宋体"/>
          <w:color w:val="auto"/>
          <w:sz w:val="32"/>
          <w:szCs w:val="32"/>
          <w:highlight w:val="none"/>
          <w:lang w:val="zh-CN"/>
        </w:rPr>
        <w:t xml:space="preserve">   </w:t>
      </w:r>
      <w:r>
        <w:rPr>
          <w:rFonts w:hint="eastAsia" w:ascii="仿宋_GB2312" w:hAnsi="宋体" w:eastAsia="仿宋_GB2312" w:cs="宋体"/>
          <w:color w:val="auto"/>
          <w:sz w:val="32"/>
          <w:szCs w:val="32"/>
          <w:highlight w:val="none"/>
          <w:lang w:val="zh-CN"/>
        </w:rPr>
        <w:br w:type="page"/>
      </w:r>
    </w:p>
    <w:p w14:paraId="77301B1F">
      <w:pPr>
        <w:jc w:val="both"/>
        <w:rPr>
          <w:rFonts w:hint="default" w:ascii="仿宋_GB2312" w:hAnsi="Arial" w:eastAsia="仿宋_GB2312" w:cstheme="minorBidi"/>
          <w:b/>
          <w:color w:val="auto"/>
          <w:kern w:val="2"/>
          <w:sz w:val="24"/>
          <w:szCs w:val="24"/>
          <w:highlight w:val="none"/>
          <w:lang w:val="en-US" w:eastAsia="zh-CN" w:bidi="ar-SA"/>
        </w:rPr>
      </w:pPr>
      <w:r>
        <w:rPr>
          <w:rFonts w:hint="eastAsia" w:ascii="仿宋_GB2312" w:hAnsi="Arial" w:eastAsia="仿宋_GB2312" w:cstheme="minorBidi"/>
          <w:b/>
          <w:color w:val="auto"/>
          <w:kern w:val="2"/>
          <w:sz w:val="32"/>
          <w:szCs w:val="32"/>
          <w:highlight w:val="none"/>
          <w:lang w:val="en-US" w:eastAsia="zh-CN" w:bidi="ar-SA"/>
        </w:rPr>
        <w:t>附：各种模板资料</w:t>
      </w:r>
    </w:p>
    <w:p w14:paraId="6FCF482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（一）一般资质条件</w:t>
      </w:r>
    </w:p>
    <w:p w14:paraId="7C2E5BC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00D0DA8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40ED80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2384D26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36B9B7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717C20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85E0BF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color w:val="auto"/>
          <w:sz w:val="32"/>
          <w:szCs w:val="32"/>
          <w:highlight w:val="none"/>
        </w:rPr>
        <w:t>（二）特定资格条件</w:t>
      </w:r>
      <w:r>
        <w:rPr>
          <w:rFonts w:hint="eastAsia" w:ascii="方正仿宋_GBK" w:hAnsi="方正仿宋_GBK" w:eastAsia="方正仿宋_GBK" w:cs="方正仿宋_GBK"/>
          <w:color w:val="auto"/>
          <w:sz w:val="32"/>
          <w:szCs w:val="32"/>
          <w:highlight w:val="none"/>
          <w:lang w:eastAsia="zh-CN"/>
        </w:rPr>
        <w:t>：</w:t>
      </w:r>
    </w:p>
    <w:p w14:paraId="2B6D201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1.资质主体要求：供应商须为依法在民政部门登记成立、主营社会工作服务的社会组织（民办非企业单位）；或在市场监管部门完成登记设立，能够提供社会工作服务、心理咨询、健康咨询等相关业务的法人企业。</w:t>
      </w:r>
    </w:p>
    <w:p w14:paraId="7A0C016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2.人员资质要求：供应商须承诺并出具证明，能够派驻符合以下要求的专业团队：</w:t>
      </w:r>
    </w:p>
    <w:p w14:paraId="409F97B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（1）项目负责人：具有社会工作师职业水平证书，且具有3年及以上医务社工、安宁疗护或老年社工领域实务经验。</w:t>
      </w:r>
    </w:p>
    <w:p w14:paraId="4159F2D7">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（2）专职医务社工（3名）：具有助理社会工作师及以上职业水平证书，或持有国家心理咨询师证书、老年人评估师资质。</w:t>
      </w:r>
    </w:p>
    <w:p w14:paraId="38D60D9B">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3.项目经验要求：供应商近三年内（自公告发布之日起前三年），须至少具备1项类似项目业绩（承接过医疗机构内的医务社工服务项目，或承接过全域安宁疗护体系建设、生命教育等政府购买服务项目）。</w:t>
      </w:r>
    </w:p>
    <w:p w14:paraId="53794CA7">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仿宋" w:hAnsi="仿宋" w:eastAsia="仿宋" w:cs="仿宋"/>
          <w:b/>
          <w:bCs/>
          <w:color w:val="auto"/>
          <w:sz w:val="28"/>
          <w:szCs w:val="21"/>
          <w:highlight w:val="none"/>
          <w:lang w:val="en-US" w:eastAsia="zh-CN"/>
        </w:rPr>
      </w:pPr>
      <w:r>
        <w:rPr>
          <w:rFonts w:hint="eastAsia" w:ascii="方正仿宋_GBK" w:hAnsi="方正仿宋_GBK" w:eastAsia="方正仿宋_GBK" w:cs="方正仿宋_GBK"/>
          <w:color w:val="auto"/>
          <w:sz w:val="32"/>
          <w:szCs w:val="32"/>
          <w:highlight w:val="none"/>
          <w:lang w:val="en-US" w:eastAsia="zh-CN"/>
        </w:rPr>
        <w:t>4.信用记录要求：供应商未被列入“信用中国”网站的“失信被执行人”及“重大税收违法失信案件”名单，未被中国政府采购网列入“政府采购严重违法失信行为记录名单”。</w:t>
      </w:r>
      <w:r>
        <w:rPr>
          <w:rFonts w:hint="eastAsia" w:ascii="仿宋" w:hAnsi="仿宋" w:eastAsia="仿宋" w:cs="仿宋"/>
          <w:b/>
          <w:bCs/>
          <w:color w:val="auto"/>
          <w:sz w:val="28"/>
          <w:szCs w:val="21"/>
          <w:highlight w:val="none"/>
          <w:lang w:val="en-US" w:eastAsia="zh-CN"/>
        </w:rPr>
        <w:br w:type="page"/>
      </w:r>
    </w:p>
    <w:p w14:paraId="190D769B">
      <w:pPr>
        <w:jc w:val="left"/>
        <w:rPr>
          <w:rFonts w:hint="default" w:ascii="微软雅黑" w:hAnsi="微软雅黑" w:eastAsia="微软雅黑" w:cs="方正小标宋_GBK"/>
          <w:b/>
          <w:bCs/>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eastAsia="zh-CN"/>
        </w:rPr>
        <w:t>：</w:t>
      </w:r>
      <w:r>
        <w:rPr>
          <w:rFonts w:hint="eastAsia" w:ascii="微软雅黑" w:hAnsi="微软雅黑" w:eastAsia="微软雅黑" w:cs="方正小标宋_GBK"/>
          <w:b/>
          <w:bCs/>
          <w:sz w:val="32"/>
          <w:szCs w:val="32"/>
          <w:highlight w:val="none"/>
          <w:lang w:val="en-US" w:eastAsia="zh-CN"/>
        </w:rPr>
        <w:t>供应商营业执照（圈出经营范围及有效期，图片占3/4页面）</w:t>
      </w:r>
    </w:p>
    <w:p w14:paraId="654817CA">
      <w:pPr>
        <w:jc w:val="left"/>
        <w:rPr>
          <w:rFonts w:hint="default" w:ascii="方正小标宋_GBK" w:hAnsi="方正小标宋_GBK" w:eastAsia="微软雅黑" w:cs="方正小标宋_GBK"/>
          <w:b/>
          <w:bCs/>
          <w:sz w:val="40"/>
          <w:szCs w:val="40"/>
          <w:highlight w:val="none"/>
          <w:lang w:val="en-US" w:eastAsia="zh-CN"/>
        </w:r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val="en-US" w:eastAsia="zh-CN"/>
        </w:rPr>
        <w:t>承诺函</w:t>
      </w:r>
    </w:p>
    <w:p w14:paraId="7C42624A">
      <w:pPr>
        <w:spacing w:line="500" w:lineRule="exact"/>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致重庆市璧山区人民医院：</w:t>
      </w:r>
    </w:p>
    <w:p w14:paraId="0D171467">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我方作为本次政府采购项目的投标人，现就本项目资格要求作出如下承诺：</w:t>
      </w:r>
    </w:p>
    <w:p w14:paraId="0EE70385">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具有良好的商业信誉和健全的财务会计制度，财务状况良好，能够满足本项目履约需要。</w:t>
      </w:r>
    </w:p>
    <w:p w14:paraId="51C0518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2.</w:t>
      </w:r>
      <w:r>
        <w:rPr>
          <w:rFonts w:hint="eastAsia" w:ascii="微软雅黑" w:hAnsi="微软雅黑" w:eastAsia="微软雅黑" w:cs="微软雅黑"/>
          <w:sz w:val="30"/>
          <w:szCs w:val="30"/>
          <w:highlight w:val="none"/>
        </w:rPr>
        <w:t>具有履行合同所必需的设备和专业技术能力，具备完成本项目采购内容的相应实力。</w:t>
      </w:r>
    </w:p>
    <w:p w14:paraId="7A20767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3.</w:t>
      </w:r>
      <w:r>
        <w:rPr>
          <w:rFonts w:hint="eastAsia" w:ascii="微软雅黑" w:hAnsi="微软雅黑" w:eastAsia="微软雅黑" w:cs="微软雅黑"/>
          <w:sz w:val="30"/>
          <w:szCs w:val="30"/>
          <w:highlight w:val="none"/>
        </w:rPr>
        <w:t>有依法缴纳税收和社会保障资金的良好记录，无欠缴、违法违规等不良情形。</w:t>
      </w:r>
    </w:p>
    <w:p w14:paraId="40C89A2B">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4.</w:t>
      </w:r>
      <w:r>
        <w:rPr>
          <w:rFonts w:hint="eastAsia" w:ascii="微软雅黑" w:hAnsi="微软雅黑" w:eastAsia="微软雅黑" w:cs="微软雅黑"/>
          <w:sz w:val="30"/>
          <w:szCs w:val="30"/>
          <w:highlight w:val="none"/>
        </w:rPr>
        <w:t>参加政府采购活动前三年内，在经营活动中没有重大违法记录，未被列入失信被执行人、重大税收违法失信主体、政府采购严重违法失信行为记录名单。</w:t>
      </w:r>
    </w:p>
    <w:p w14:paraId="61BA8C3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我方承诺上述内容真实有效，如有虚假，自愿承担一切法律责任及取消投标资格、中标无效等后果。</w:t>
      </w:r>
    </w:p>
    <w:p w14:paraId="20B90DBE">
      <w:pPr>
        <w:spacing w:line="500" w:lineRule="exact"/>
        <w:ind w:firstLine="600" w:firstLineChars="200"/>
        <w:rPr>
          <w:rFonts w:ascii="微软雅黑" w:hAnsi="微软雅黑" w:eastAsia="微软雅黑" w:cs="微软雅黑"/>
          <w:sz w:val="30"/>
          <w:szCs w:val="30"/>
          <w:highlight w:val="none"/>
        </w:rPr>
      </w:pPr>
    </w:p>
    <w:p w14:paraId="597ADF57">
      <w:pPr>
        <w:spacing w:line="500" w:lineRule="exact"/>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特此承诺。</w:t>
      </w:r>
    </w:p>
    <w:p w14:paraId="63DBB13D">
      <w:pPr>
        <w:ind w:firstLine="600" w:firstLineChars="200"/>
        <w:rPr>
          <w:rFonts w:ascii="微软雅黑" w:hAnsi="微软雅黑" w:eastAsia="微软雅黑" w:cs="微软雅黑"/>
          <w:sz w:val="30"/>
          <w:szCs w:val="30"/>
          <w:highlight w:val="none"/>
        </w:rPr>
      </w:pPr>
    </w:p>
    <w:p w14:paraId="56E58294">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（供应商</w:t>
      </w:r>
      <w:r>
        <w:rPr>
          <w:rFonts w:hint="eastAsia" w:ascii="微软雅黑" w:hAnsi="微软雅黑" w:eastAsia="微软雅黑" w:cs="微软雅黑"/>
          <w:sz w:val="30"/>
          <w:szCs w:val="30"/>
          <w:highlight w:val="none"/>
          <w:lang w:val="en-US" w:eastAsia="zh-CN"/>
        </w:rPr>
        <w:t>名称并加盖</w:t>
      </w:r>
      <w:r>
        <w:rPr>
          <w:rFonts w:hint="eastAsia" w:ascii="微软雅黑" w:hAnsi="微软雅黑" w:eastAsia="微软雅黑" w:cs="微软雅黑"/>
          <w:sz w:val="30"/>
          <w:szCs w:val="30"/>
          <w:highlight w:val="none"/>
        </w:rPr>
        <w:t>公章）</w:t>
      </w:r>
    </w:p>
    <w:p w14:paraId="77EC40D5">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年    月    日</w:t>
      </w:r>
    </w:p>
    <w:p w14:paraId="0FE1E041">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67FF027E">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法定代表人身份证明书</w:t>
      </w:r>
    </w:p>
    <w:p w14:paraId="1CE85108">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highlight w:val="none"/>
          <w:lang w:val="en-US" w:eastAsia="zh-CN" w:bidi="ar-SA"/>
        </w:rPr>
      </w:pPr>
    </w:p>
    <w:p w14:paraId="4787A713">
      <w:pPr>
        <w:tabs>
          <w:tab w:val="left" w:pos="6300"/>
        </w:tabs>
        <w:adjustRightInd w:val="0"/>
        <w:snapToGrid w:val="0"/>
        <w:spacing w:line="360" w:lineRule="auto"/>
        <w:ind w:firstLine="420"/>
        <w:jc w:val="center"/>
        <w:rPr>
          <w:rFonts w:hint="eastAsia" w:ascii="仿宋_GB2312" w:hAnsi="宋体" w:eastAsia="仿宋_GB2312"/>
          <w:color w:val="auto"/>
          <w:sz w:val="32"/>
          <w:szCs w:val="32"/>
          <w:highlight w:val="none"/>
          <w:u w:val="single"/>
        </w:rPr>
      </w:pPr>
      <w:r>
        <w:rPr>
          <w:rFonts w:hint="eastAsia" w:ascii="仿宋_GB2312" w:hAnsi="Arial" w:eastAsia="仿宋_GB2312" w:cstheme="minorBidi"/>
          <w:b/>
          <w:color w:val="auto"/>
          <w:kern w:val="2"/>
          <w:sz w:val="32"/>
          <w:szCs w:val="32"/>
          <w:highlight w:val="none"/>
          <w:lang w:val="en-US" w:eastAsia="zh-CN" w:bidi="ar-SA"/>
        </w:rPr>
        <w:t>法定代表人身份证明书</w:t>
      </w:r>
    </w:p>
    <w:p w14:paraId="293B2C8D">
      <w:pPr>
        <w:spacing w:line="594" w:lineRule="exact"/>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致</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u w:val="single"/>
        </w:rPr>
        <w:t>重庆市璧山区</w:t>
      </w:r>
      <w:r>
        <w:rPr>
          <w:rFonts w:hint="eastAsia" w:ascii="微软雅黑" w:hAnsi="微软雅黑" w:eastAsia="微软雅黑" w:cs="___WRD_EMBED_SUB_53"/>
          <w:sz w:val="30"/>
          <w:szCs w:val="30"/>
          <w:highlight w:val="none"/>
          <w:u w:val="single"/>
        </w:rPr>
        <w:t>人民医院</w:t>
      </w:r>
      <w:r>
        <w:rPr>
          <w:rFonts w:hint="eastAsia" w:ascii="微软雅黑" w:hAnsi="微软雅黑" w:eastAsia="微软雅黑"/>
          <w:sz w:val="30"/>
          <w:szCs w:val="30"/>
          <w:highlight w:val="none"/>
        </w:rPr>
        <w:t>：</w:t>
      </w:r>
    </w:p>
    <w:p w14:paraId="02164AAB">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___________（</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姓名</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在</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cs="___WRD_EMBED_SUB_53"/>
          <w:sz w:val="30"/>
          <w:szCs w:val="30"/>
          <w:highlight w:val="none"/>
        </w:rPr>
        <w:t>）任</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职务名称</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职务</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是</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sz w:val="30"/>
          <w:szCs w:val="30"/>
          <w:highlight w:val="none"/>
        </w:rPr>
        <w:t>___________________的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p>
    <w:p w14:paraId="7CE1B8C1">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特此</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明</w:t>
      </w:r>
      <w:r>
        <w:rPr>
          <w:rFonts w:hint="eastAsia" w:ascii="微软雅黑" w:hAnsi="微软雅黑" w:eastAsia="微软雅黑" w:cs="___WRD_EMBED_SUB_53"/>
          <w:sz w:val="30"/>
          <w:szCs w:val="30"/>
          <w:highlight w:val="none"/>
        </w:rPr>
        <w:t>。</w:t>
      </w:r>
    </w:p>
    <w:p w14:paraId="2D863817">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人身</w:t>
      </w:r>
      <w:r>
        <w:rPr>
          <w:rFonts w:hint="eastAsia" w:ascii="微软雅黑" w:hAnsi="微软雅黑" w:eastAsia="微软雅黑" w:cs="宋体"/>
          <w:sz w:val="30"/>
          <w:szCs w:val="30"/>
          <w:highlight w:val="none"/>
        </w:rPr>
        <w:t>份</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复印</w:t>
      </w:r>
      <w:r>
        <w:rPr>
          <w:rFonts w:hint="eastAsia" w:ascii="微软雅黑" w:hAnsi="微软雅黑" w:eastAsia="微软雅黑" w:cs="___WRD_EMBED_SUB_53"/>
          <w:sz w:val="30"/>
          <w:szCs w:val="30"/>
          <w:highlight w:val="none"/>
        </w:rPr>
        <w:t>件）</w:t>
      </w:r>
    </w:p>
    <w:p w14:paraId="504CA011">
      <w:pPr>
        <w:spacing w:line="594" w:lineRule="exact"/>
        <w:ind w:firstLine="600" w:firstLineChars="200"/>
        <w:rPr>
          <w:rFonts w:hint="eastAsia" w:ascii="微软雅黑" w:hAnsi="微软雅黑" w:eastAsia="微软雅黑"/>
          <w:sz w:val="30"/>
          <w:szCs w:val="30"/>
          <w:highlight w:val="none"/>
        </w:rPr>
      </w:pPr>
    </w:p>
    <w:p w14:paraId="2AA43E72">
      <w:pPr>
        <w:spacing w:line="594" w:lineRule="exact"/>
        <w:ind w:firstLine="600" w:firstLineChars="200"/>
        <w:rPr>
          <w:rFonts w:hint="eastAsia" w:ascii="微软雅黑" w:hAnsi="微软雅黑" w:eastAsia="微软雅黑"/>
          <w:sz w:val="30"/>
          <w:szCs w:val="30"/>
          <w:highlight w:val="none"/>
        </w:rPr>
      </w:pPr>
    </w:p>
    <w:p w14:paraId="0C5DAA1A">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p w14:paraId="535BF3D6">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年   </w:t>
      </w:r>
      <w:r>
        <w:rPr>
          <w:rFonts w:hint="eastAsia" w:ascii="微软雅黑" w:hAnsi="微软雅黑" w:eastAsia="微软雅黑" w:cs="宋体"/>
          <w:sz w:val="30"/>
          <w:szCs w:val="30"/>
          <w:highlight w:val="none"/>
        </w:rPr>
        <w:t>月</w:t>
      </w:r>
      <w:r>
        <w:rPr>
          <w:rFonts w:hint="eastAsia" w:ascii="微软雅黑" w:hAnsi="微软雅黑" w:eastAsia="微软雅黑"/>
          <w:sz w:val="30"/>
          <w:szCs w:val="30"/>
          <w:highlight w:val="none"/>
        </w:rPr>
        <w:t xml:space="preserve">   日</w:t>
      </w:r>
    </w:p>
    <w:p w14:paraId="5AEB6323">
      <w:pPr>
        <w:spacing w:line="594" w:lineRule="exact"/>
        <w:ind w:firstLine="640" w:firstLineChars="200"/>
        <w:rPr>
          <w:rFonts w:hint="eastAsia" w:ascii="方正仿宋_GBK" w:eastAsia="方正仿宋_GBK"/>
          <w:sz w:val="32"/>
          <w:szCs w:val="32"/>
          <w:highlight w:val="none"/>
        </w:rPr>
      </w:pPr>
    </w:p>
    <w:p w14:paraId="44431CAE">
      <w:pPr>
        <w:tabs>
          <w:tab w:val="left" w:pos="6300"/>
        </w:tabs>
        <w:adjustRightInd w:val="0"/>
        <w:snapToGrid w:val="0"/>
        <w:spacing w:line="360" w:lineRule="auto"/>
        <w:jc w:val="right"/>
        <w:rPr>
          <w:rFonts w:ascii="仿宋_GB2312" w:hAnsi="宋体" w:eastAsia="仿宋_GB2312"/>
          <w:color w:val="auto"/>
          <w:sz w:val="24"/>
          <w:highlight w:val="none"/>
        </w:rPr>
      </w:pPr>
      <w:r>
        <w:rPr>
          <w:rFonts w:hint="eastAsia" w:ascii="仿宋_GB2312" w:hAnsi="宋体" w:eastAsia="仿宋_GB2312"/>
          <w:color w:val="auto"/>
          <w:sz w:val="28"/>
          <w:szCs w:val="28"/>
          <w:highlight w:val="none"/>
        </w:rPr>
        <w:t xml:space="preserve">       </w:t>
      </w:r>
      <w:r>
        <w:rPr>
          <w:rFonts w:hint="eastAsia" w:ascii="仿宋_GB2312" w:hAnsi="宋体" w:eastAsia="仿宋_GB2312"/>
          <w:color w:val="auto"/>
          <w:sz w:val="24"/>
          <w:highlight w:val="none"/>
        </w:rPr>
        <w:t xml:space="preserve">   </w:t>
      </w:r>
    </w:p>
    <w:p w14:paraId="30C66DB5">
      <w:pPr>
        <w:pStyle w:val="3"/>
        <w:adjustRightInd w:val="0"/>
        <w:snapToGrid w:val="0"/>
        <w:spacing w:line="360" w:lineRule="auto"/>
        <w:rPr>
          <w:color w:val="auto"/>
          <w:highlight w:val="none"/>
        </w:rPr>
        <w:sectPr>
          <w:pgSz w:w="11906" w:h="16838"/>
          <w:pgMar w:top="1134" w:right="1134" w:bottom="1134" w:left="1134" w:header="851" w:footer="992" w:gutter="0"/>
          <w:cols w:space="720" w:num="1"/>
          <w:docGrid w:type="lines" w:linePitch="312" w:charSpace="0"/>
        </w:sectPr>
      </w:pPr>
      <w:bookmarkStart w:id="0" w:name="_Toc237057793"/>
      <w:bookmarkStart w:id="1" w:name="_Toc173677399"/>
      <w:bookmarkStart w:id="2" w:name="_Toc128229747"/>
      <w:bookmarkStart w:id="3" w:name="_Toc128229304"/>
      <w:bookmarkStart w:id="4" w:name="_Toc156196472"/>
      <w:bookmarkStart w:id="5" w:name="_Toc175017344"/>
      <w:bookmarkStart w:id="6" w:name="_Toc128014297"/>
    </w:p>
    <w:bookmarkEnd w:id="0"/>
    <w:bookmarkEnd w:id="1"/>
    <w:bookmarkEnd w:id="2"/>
    <w:bookmarkEnd w:id="3"/>
    <w:bookmarkEnd w:id="4"/>
    <w:bookmarkEnd w:id="5"/>
    <w:bookmarkEnd w:id="6"/>
    <w:p w14:paraId="58882F76">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投标人法定代表人授权委托书</w:t>
      </w:r>
    </w:p>
    <w:p w14:paraId="2C7FFB74">
      <w:pPr>
        <w:numPr>
          <w:ilvl w:val="0"/>
          <w:numId w:val="0"/>
        </w:numPr>
        <w:jc w:val="center"/>
        <w:rPr>
          <w:b/>
          <w:bCs/>
          <w:sz w:val="32"/>
          <w:szCs w:val="32"/>
          <w:highlight w:val="none"/>
        </w:rPr>
      </w:pPr>
      <w:r>
        <w:rPr>
          <w:rFonts w:hint="eastAsia"/>
          <w:b/>
          <w:bCs/>
          <w:color w:val="auto"/>
          <w:sz w:val="32"/>
          <w:szCs w:val="32"/>
          <w:highlight w:val="none"/>
        </w:rPr>
        <w:t>投标人法定代表人授权委托书（格式）</w:t>
      </w:r>
    </w:p>
    <w:p w14:paraId="6FE939C2">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eastAsia="仿宋_GB2312"/>
          <w:color w:val="auto"/>
          <w:sz w:val="28"/>
          <w:szCs w:val="28"/>
          <w:highlight w:val="none"/>
        </w:rPr>
        <w:t xml:space="preserve">   </w:t>
      </w:r>
      <w:r>
        <w:rPr>
          <w:rFonts w:hint="eastAsia" w:ascii="仿宋_GB2312" w:eastAsia="仿宋_GB2312"/>
          <w:color w:val="auto"/>
          <w:sz w:val="28"/>
          <w:szCs w:val="28"/>
          <w:highlight w:val="none"/>
          <w:lang w:val="en-US" w:eastAsia="zh-CN"/>
        </w:rPr>
        <w:t xml:space="preserve"> </w:t>
      </w:r>
    </w:p>
    <w:p w14:paraId="596D8192">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日    期：</w:t>
      </w:r>
    </w:p>
    <w:p w14:paraId="6CF8925D">
      <w:pPr>
        <w:tabs>
          <w:tab w:val="left" w:pos="6300"/>
        </w:tabs>
        <w:adjustRightInd w:val="0"/>
        <w:snapToGrid w:val="0"/>
        <w:spacing w:line="360" w:lineRule="auto"/>
        <w:rPr>
          <w:rFonts w:hint="eastAsia" w:ascii="仿宋_GB2312" w:hAnsi="宋体" w:eastAsia="仿宋_GB2312"/>
          <w:color w:val="auto"/>
          <w:sz w:val="28"/>
          <w:szCs w:val="28"/>
          <w:highlight w:val="none"/>
          <w:u w:val="single"/>
          <w:lang w:eastAsia="zh-CN"/>
        </w:rPr>
      </w:pPr>
      <w:r>
        <w:rPr>
          <w:rFonts w:hint="eastAsia" w:ascii="仿宋_GB2312" w:hAnsi="宋体" w:eastAsia="仿宋_GB2312"/>
          <w:color w:val="auto"/>
          <w:sz w:val="28"/>
          <w:szCs w:val="28"/>
          <w:highlight w:val="none"/>
        </w:rPr>
        <w:t>致：</w:t>
      </w:r>
      <w:r>
        <w:rPr>
          <w:rFonts w:hint="eastAsia" w:ascii="仿宋_GB2312" w:hAnsi="宋体" w:eastAsia="仿宋_GB2312"/>
          <w:color w:val="auto"/>
          <w:sz w:val="28"/>
          <w:szCs w:val="28"/>
          <w:highlight w:val="none"/>
          <w:u w:val="single"/>
          <w:lang w:eastAsia="zh-CN"/>
        </w:rPr>
        <w:t>重庆</w:t>
      </w:r>
      <w:r>
        <w:rPr>
          <w:rFonts w:hint="eastAsia" w:ascii="仿宋_GB2312" w:hAnsi="宋体" w:eastAsia="仿宋_GB2312"/>
          <w:color w:val="auto"/>
          <w:sz w:val="28"/>
          <w:szCs w:val="28"/>
          <w:highlight w:val="none"/>
          <w:u w:val="single"/>
          <w:lang w:val="en-US" w:eastAsia="zh-CN"/>
        </w:rPr>
        <w:t>市璧山区人民</w:t>
      </w:r>
      <w:r>
        <w:rPr>
          <w:rFonts w:hint="eastAsia" w:ascii="仿宋_GB2312" w:hAnsi="宋体" w:eastAsia="仿宋_GB2312"/>
          <w:color w:val="auto"/>
          <w:sz w:val="28"/>
          <w:szCs w:val="28"/>
          <w:highlight w:val="none"/>
          <w:u w:val="single"/>
          <w:lang w:eastAsia="zh-CN"/>
        </w:rPr>
        <w:t>医院</w:t>
      </w:r>
    </w:p>
    <w:p w14:paraId="67C6674F">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（投标人名称）</w:t>
      </w:r>
      <w:r>
        <w:rPr>
          <w:rFonts w:hint="eastAsia" w:ascii="仿宋_GB2312" w:hAnsi="宋体" w:eastAsia="仿宋_GB2312"/>
          <w:color w:val="auto"/>
          <w:sz w:val="28"/>
          <w:szCs w:val="28"/>
          <w:highlight w:val="none"/>
        </w:rPr>
        <w:t>是中华人民共和国合法企业，法定地址</w:t>
      </w:r>
      <w:r>
        <w:rPr>
          <w:rFonts w:hint="eastAsia" w:ascii="仿宋_GB2312" w:hAnsi="宋体" w:eastAsia="仿宋_GB2312"/>
          <w:color w:val="auto"/>
          <w:sz w:val="28"/>
          <w:szCs w:val="28"/>
          <w:highlight w:val="none"/>
          <w:u w:val="single"/>
        </w:rPr>
        <w:t xml:space="preserve">                               。</w:t>
      </w:r>
    </w:p>
    <w:p w14:paraId="6B0BB49D">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（投标人法定代表人姓名）</w:t>
      </w:r>
      <w:r>
        <w:rPr>
          <w:rFonts w:hint="eastAsia" w:ascii="仿宋_GB2312" w:hAnsi="宋体" w:eastAsia="仿宋_GB2312"/>
          <w:color w:val="auto"/>
          <w:sz w:val="28"/>
          <w:szCs w:val="28"/>
          <w:highlight w:val="none"/>
        </w:rPr>
        <w:t>特授权</w:t>
      </w:r>
      <w:r>
        <w:rPr>
          <w:rFonts w:hint="eastAsia" w:ascii="仿宋_GB2312" w:hAnsi="宋体" w:eastAsia="仿宋_GB2312"/>
          <w:color w:val="auto"/>
          <w:sz w:val="28"/>
          <w:szCs w:val="28"/>
          <w:highlight w:val="none"/>
          <w:u w:val="single"/>
        </w:rPr>
        <w:t xml:space="preserve">                 （被授权人姓名</w:t>
      </w:r>
      <w:r>
        <w:rPr>
          <w:rFonts w:hint="eastAsia" w:ascii="仿宋_GB2312" w:hAnsi="宋体" w:eastAsia="仿宋_GB2312"/>
          <w:color w:val="auto"/>
          <w:sz w:val="28"/>
          <w:szCs w:val="28"/>
          <w:highlight w:val="none"/>
          <w:u w:val="single"/>
          <w:lang w:eastAsia="zh-CN"/>
        </w:rPr>
        <w:t>、</w:t>
      </w:r>
      <w:r>
        <w:rPr>
          <w:rFonts w:hint="eastAsia" w:ascii="仿宋_GB2312" w:hAnsi="宋体" w:eastAsia="仿宋_GB2312"/>
          <w:color w:val="auto"/>
          <w:sz w:val="28"/>
          <w:szCs w:val="28"/>
          <w:highlight w:val="none"/>
          <w:u w:val="single"/>
        </w:rPr>
        <w:t>身份证</w:t>
      </w:r>
      <w:r>
        <w:rPr>
          <w:rFonts w:hint="eastAsia" w:ascii="仿宋_GB2312" w:hAnsi="宋体" w:eastAsia="仿宋_GB2312"/>
          <w:color w:val="auto"/>
          <w:sz w:val="28"/>
          <w:szCs w:val="28"/>
          <w:highlight w:val="none"/>
          <w:u w:val="single"/>
          <w:lang w:val="en-US" w:eastAsia="zh-CN"/>
        </w:rPr>
        <w:t>号码、</w:t>
      </w:r>
      <w:r>
        <w:rPr>
          <w:rFonts w:hint="eastAsia" w:ascii="仿宋_GB2312" w:hAnsi="宋体" w:eastAsia="仿宋_GB2312"/>
          <w:b/>
          <w:bCs/>
          <w:color w:val="auto"/>
          <w:sz w:val="28"/>
          <w:szCs w:val="28"/>
          <w:highlight w:val="none"/>
          <w:u w:val="single"/>
          <w:lang w:val="en-US" w:eastAsia="zh-CN"/>
        </w:rPr>
        <w:t>电话号码</w:t>
      </w:r>
      <w:r>
        <w:rPr>
          <w:rFonts w:hint="eastAsia" w:ascii="仿宋_GB2312" w:hAnsi="宋体" w:eastAsia="仿宋_GB2312"/>
          <w:color w:val="auto"/>
          <w:sz w:val="28"/>
          <w:szCs w:val="28"/>
          <w:highlight w:val="none"/>
          <w:u w:val="single"/>
        </w:rPr>
        <w:t>）</w:t>
      </w:r>
      <w:r>
        <w:rPr>
          <w:rFonts w:hint="eastAsia" w:ascii="仿宋_GB2312" w:hAnsi="宋体" w:eastAsia="仿宋_GB2312"/>
          <w:color w:val="auto"/>
          <w:sz w:val="28"/>
          <w:szCs w:val="28"/>
          <w:highlight w:val="none"/>
        </w:rPr>
        <w:t>代表我单位全权办理对上述项目的投标、谈判、签约</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验收、结算</w:t>
      </w:r>
      <w:r>
        <w:rPr>
          <w:rFonts w:hint="eastAsia" w:ascii="仿宋_GB2312" w:hAnsi="宋体" w:eastAsia="仿宋_GB2312"/>
          <w:color w:val="auto"/>
          <w:sz w:val="28"/>
          <w:szCs w:val="28"/>
          <w:highlight w:val="none"/>
        </w:rPr>
        <w:t>等具体工作，并签署全部有关的文件、协议及合同。</w:t>
      </w:r>
    </w:p>
    <w:p w14:paraId="0061F9A8">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我单位对被授权人的签名负全部责任。</w:t>
      </w:r>
    </w:p>
    <w:p w14:paraId="6A4FD85F">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在撤消授权的书面通知以前，本授权书一直有效。被授权人签署的所有文件（在授权书有效期内签署的）不因授权的撤消而失效。</w:t>
      </w:r>
    </w:p>
    <w:p w14:paraId="602DE52D">
      <w:pPr>
        <w:tabs>
          <w:tab w:val="left" w:pos="6300"/>
        </w:tabs>
        <w:adjustRightInd w:val="0"/>
        <w:snapToGrid w:val="0"/>
        <w:spacing w:line="360" w:lineRule="auto"/>
        <w:ind w:firstLine="601" w:firstLineChars="233"/>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被授权人签名：                  投标人法定代表人签名：</w:t>
      </w:r>
    </w:p>
    <w:p w14:paraId="04B94956">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职  务：                        职  务：</w:t>
      </w:r>
    </w:p>
    <w:p w14:paraId="3D5E406A">
      <w:pPr>
        <w:tabs>
          <w:tab w:val="left" w:pos="6300"/>
        </w:tabs>
        <w:adjustRightInd w:val="0"/>
        <w:snapToGrid w:val="0"/>
        <w:spacing w:line="360" w:lineRule="auto"/>
        <w:ind w:firstLine="645" w:firstLineChars="25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联系电话： </w:t>
      </w:r>
    </w:p>
    <w:p w14:paraId="0E331191">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（附身份证或护照复印件）</w:t>
      </w:r>
    </w:p>
    <w:p w14:paraId="5E5A0E72">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投标人公章：</w:t>
      </w:r>
    </w:p>
    <w:p w14:paraId="643B2268">
      <w:pPr>
        <w:tabs>
          <w:tab w:val="left" w:pos="6300"/>
        </w:tabs>
        <w:adjustRightInd w:val="0"/>
        <w:snapToGrid w:val="0"/>
        <w:spacing w:line="360" w:lineRule="auto"/>
        <w:rPr>
          <w:rFonts w:ascii="仿宋" w:hAnsi="仿宋" w:eastAsia="仿宋"/>
          <w:b/>
          <w:snapToGrid w:val="0"/>
          <w:color w:val="auto"/>
          <w:kern w:val="0"/>
          <w:sz w:val="28"/>
          <w:szCs w:val="28"/>
          <w:highlight w:val="none"/>
        </w:rPr>
      </w:pPr>
    </w:p>
    <w:p w14:paraId="598330E8">
      <w:pPr>
        <w:rPr>
          <w:rFonts w:hint="eastAsia" w:ascii="仿宋_GB2312" w:hAnsi="Arial" w:eastAsia="仿宋_GB2312" w:cstheme="minorBidi"/>
          <w:b/>
          <w:color w:val="auto"/>
          <w:kern w:val="2"/>
          <w:sz w:val="28"/>
          <w:szCs w:val="28"/>
          <w:highlight w:val="none"/>
          <w:lang w:val="en-US" w:eastAsia="zh-CN" w:bidi="ar-SA"/>
        </w:rPr>
      </w:pPr>
    </w:p>
    <w:p w14:paraId="21B5BD05">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1A4B6575">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left"/>
        <w:textAlignment w:val="auto"/>
        <w:rPr>
          <w:rFonts w:hint="default"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t>报价表及明细表</w:t>
      </w:r>
    </w:p>
    <w:p w14:paraId="590E9DA7">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报价表</w:t>
      </w:r>
    </w:p>
    <w:p w14:paraId="3FA47D2B">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重庆市璧山区人民医院（采购人名称）:</w:t>
      </w:r>
    </w:p>
    <w:p w14:paraId="5B111583">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596" w:firstLineChars="200"/>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我方收到你单位</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lang w:val="en-US" w:eastAsia="zh-CN"/>
        </w:rPr>
        <w:t>（项目名称）的询价采购文件，经详细研究，决定参加该项目的询价。</w:t>
      </w:r>
    </w:p>
    <w:p w14:paraId="695F03D8">
      <w:pPr>
        <w:pStyle w:val="9"/>
        <w:keepNext w:val="0"/>
        <w:keepLines w:val="0"/>
        <w:pageBreakBefore w:val="0"/>
        <w:widowControl w:val="0"/>
        <w:numPr>
          <w:ilvl w:val="0"/>
          <w:numId w:val="4"/>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u w:val="single"/>
          <w:lang w:val="en-US" w:eastAsia="zh-CN"/>
        </w:rPr>
      </w:pPr>
      <w:r>
        <w:rPr>
          <w:rFonts w:hint="eastAsia" w:ascii="方正仿宋_GBK" w:hAnsi="方正仿宋_GBK" w:eastAsia="方正仿宋_GBK" w:cs="方正仿宋_GBK"/>
          <w:sz w:val="32"/>
          <w:szCs w:val="32"/>
          <w:highlight w:val="none"/>
          <w:lang w:val="en-US" w:eastAsia="zh-CN"/>
        </w:rPr>
        <w:t>愿意按照询价采购文件中的一切要求，提供本项目的服务，按总价报价为人民币大写：</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u w:val="none"/>
          <w:lang w:val="en-US" w:eastAsia="zh-CN"/>
        </w:rPr>
        <w:t>元，</w:t>
      </w:r>
      <w:r>
        <w:rPr>
          <w:rFonts w:hint="eastAsia" w:ascii="方正仿宋_GBK" w:hAnsi="方正仿宋_GBK" w:eastAsia="方正仿宋_GBK" w:cs="方正仿宋_GBK"/>
          <w:sz w:val="32"/>
          <w:szCs w:val="32"/>
          <w:highlight w:val="none"/>
          <w:lang w:val="en-US"/>
        </w:rPr>
        <w:t>人民币小写：</w:t>
      </w:r>
      <w:r>
        <w:rPr>
          <w:rFonts w:hint="eastAsia" w:ascii="方正仿宋_GBK" w:hAnsi="方正仿宋_GBK" w:eastAsia="方正仿宋_GBK" w:cs="方正仿宋_GBK"/>
          <w:sz w:val="32"/>
          <w:szCs w:val="32"/>
          <w:highlight w:val="none"/>
          <w:u w:val="single"/>
          <w:lang w:val="en-US"/>
        </w:rPr>
        <w:t xml:space="preserve">     </w:t>
      </w:r>
      <w:r>
        <w:rPr>
          <w:rFonts w:hint="eastAsia" w:ascii="方正仿宋_GBK" w:hAnsi="方正仿宋_GBK" w:eastAsia="方正仿宋_GBK" w:cs="方正仿宋_GBK"/>
          <w:sz w:val="32"/>
          <w:szCs w:val="32"/>
          <w:highlight w:val="none"/>
          <w:lang w:val="en-US"/>
        </w:rPr>
        <w:t>元。</w:t>
      </w:r>
    </w:p>
    <w:p w14:paraId="10994537">
      <w:pPr>
        <w:pStyle w:val="9"/>
        <w:keepNext w:val="0"/>
        <w:keepLines w:val="0"/>
        <w:pageBreakBefore w:val="0"/>
        <w:widowControl w:val="0"/>
        <w:numPr>
          <w:ilvl w:val="0"/>
          <w:numId w:val="4"/>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我方现提交的响应文件为：加盖鲜章纸质件。</w:t>
      </w:r>
    </w:p>
    <w:p w14:paraId="649C84C4">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3．我方承诺：本次询价的有效期90天。</w:t>
      </w:r>
    </w:p>
    <w:p w14:paraId="5CC39AD0">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4．我方完全理解和接受贵方询价采购文件的一切规定和要求及评审办法。</w:t>
      </w:r>
    </w:p>
    <w:p w14:paraId="5A05E279">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5．在整个询价采购过程中，我方若有违规行为愿接受相关法律处罚。</w:t>
      </w:r>
    </w:p>
    <w:p w14:paraId="497E8D9C">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6．我方若中选，将按照询价结果签订合同，并且严格履行合同义务。本承诺函将成为合同不可分割的一部分，与合同具有同等的法律效力。</w:t>
      </w:r>
    </w:p>
    <w:p w14:paraId="1C525F3E">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7.采购人有权与有效供应商在二次议价时针对采购文件中不明晰的内容进行商务谈判，进一步明确需求。</w:t>
      </w:r>
    </w:p>
    <w:p w14:paraId="01C0B09B">
      <w:pPr>
        <w:rPr>
          <w:rFonts w:hint="default"/>
          <w:highlight w:val="none"/>
          <w:lang w:val="en-US" w:eastAsia="zh-CN"/>
        </w:rPr>
      </w:pPr>
    </w:p>
    <w:p w14:paraId="5D210568">
      <w:pPr>
        <w:pStyle w:val="9"/>
        <w:numPr>
          <w:ilvl w:val="0"/>
          <w:numId w:val="0"/>
        </w:numPr>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供应商名称（公章）：</w:t>
      </w:r>
    </w:p>
    <w:p w14:paraId="22A1CEC6">
      <w:pPr>
        <w:tabs>
          <w:tab w:val="left" w:pos="2895"/>
        </w:tabs>
        <w:spacing w:line="600" w:lineRule="exact"/>
        <w:ind w:firstLine="596" w:firstLineChars="200"/>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年  月   日</w:t>
      </w:r>
    </w:p>
    <w:p w14:paraId="3BAEBCE1">
      <w:pPr>
        <w:jc w:val="center"/>
        <w:rPr>
          <w:rFonts w:ascii="微软雅黑" w:hAnsi="微软雅黑" w:eastAsia="微软雅黑" w:cs="微软雅黑"/>
          <w:b/>
          <w:bCs/>
          <w:sz w:val="32"/>
          <w:szCs w:val="32"/>
          <w:highlight w:val="none"/>
        </w:rPr>
      </w:pPr>
      <w:r>
        <w:rPr>
          <w:rFonts w:hint="eastAsia" w:ascii="方正仿宋_GBK" w:hAnsi="方正仿宋_GBK" w:eastAsia="方正仿宋_GBK" w:cs="方正仿宋_GBK"/>
          <w:sz w:val="32"/>
          <w:szCs w:val="32"/>
          <w:highlight w:val="none"/>
          <w:lang w:val="en-US" w:eastAsia="zh-CN"/>
        </w:rPr>
        <w:br w:type="page"/>
      </w:r>
      <w:r>
        <w:rPr>
          <w:rFonts w:hint="eastAsia" w:ascii="微软雅黑" w:hAnsi="微软雅黑" w:eastAsia="微软雅黑" w:cs="微软雅黑"/>
          <w:b/>
          <w:bCs/>
          <w:sz w:val="32"/>
          <w:szCs w:val="32"/>
          <w:highlight w:val="none"/>
        </w:rPr>
        <w:t>报价明细表</w:t>
      </w:r>
    </w:p>
    <w:tbl>
      <w:tblPr>
        <w:tblStyle w:val="13"/>
        <w:tblpPr w:leftFromText="180" w:rightFromText="180" w:vertAnchor="text" w:horzAnchor="margin" w:tblpY="268"/>
        <w:tblOverlap w:val="never"/>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831"/>
        <w:gridCol w:w="1590"/>
        <w:gridCol w:w="2249"/>
        <w:gridCol w:w="1275"/>
      </w:tblGrid>
      <w:tr w14:paraId="47C3A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A35BE77">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序号</w:t>
            </w:r>
          </w:p>
        </w:tc>
        <w:tc>
          <w:tcPr>
            <w:tcW w:w="1543" w:type="dxa"/>
            <w:noWrap w:val="0"/>
            <w:vAlign w:val="center"/>
          </w:tcPr>
          <w:p w14:paraId="549FFA62">
            <w:pPr>
              <w:spacing w:line="300" w:lineRule="exact"/>
              <w:jc w:val="center"/>
              <w:rPr>
                <w:rFonts w:hint="default" w:ascii="微软雅黑" w:hAnsi="微软雅黑" w:eastAsia="微软雅黑" w:cs="微软雅黑"/>
                <w:b/>
                <w:sz w:val="24"/>
                <w:szCs w:val="24"/>
                <w:highlight w:val="none"/>
                <w:lang w:val="en-US" w:eastAsia="zh-CN"/>
              </w:rPr>
            </w:pPr>
            <w:r>
              <w:rPr>
                <w:rFonts w:hint="eastAsia" w:ascii="微软雅黑" w:hAnsi="微软雅黑" w:eastAsia="微软雅黑" w:cs="微软雅黑"/>
                <w:b/>
                <w:sz w:val="24"/>
                <w:szCs w:val="24"/>
                <w:highlight w:val="none"/>
                <w:lang w:val="en-US" w:eastAsia="zh-CN"/>
              </w:rPr>
              <w:t>采购人需求项目名称</w:t>
            </w:r>
          </w:p>
        </w:tc>
        <w:tc>
          <w:tcPr>
            <w:tcW w:w="1831" w:type="dxa"/>
            <w:noWrap w:val="0"/>
            <w:vAlign w:val="center"/>
          </w:tcPr>
          <w:p w14:paraId="08CA6F2F">
            <w:pPr>
              <w:spacing w:line="300" w:lineRule="exact"/>
              <w:jc w:val="center"/>
              <w:rPr>
                <w:rFonts w:hint="default" w:ascii="微软雅黑" w:hAnsi="微软雅黑" w:eastAsia="微软雅黑" w:cs="微软雅黑"/>
                <w:b/>
                <w:sz w:val="24"/>
                <w:szCs w:val="24"/>
                <w:highlight w:val="none"/>
                <w:lang w:val="en-US"/>
              </w:rPr>
            </w:pPr>
            <w:r>
              <w:rPr>
                <w:rFonts w:hint="eastAsia" w:ascii="微软雅黑" w:hAnsi="微软雅黑" w:eastAsia="微软雅黑" w:cs="微软雅黑"/>
                <w:b/>
                <w:sz w:val="24"/>
                <w:szCs w:val="24"/>
                <w:highlight w:val="none"/>
                <w:lang w:val="en-US" w:eastAsia="zh-CN"/>
              </w:rPr>
              <w:t>规格</w:t>
            </w:r>
          </w:p>
        </w:tc>
        <w:tc>
          <w:tcPr>
            <w:tcW w:w="1590" w:type="dxa"/>
            <w:noWrap w:val="0"/>
            <w:vAlign w:val="center"/>
          </w:tcPr>
          <w:p w14:paraId="73BCAC2E">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数量</w:t>
            </w:r>
          </w:p>
        </w:tc>
        <w:tc>
          <w:tcPr>
            <w:tcW w:w="2249" w:type="dxa"/>
            <w:noWrap w:val="0"/>
            <w:vAlign w:val="center"/>
          </w:tcPr>
          <w:p w14:paraId="62F51B0F">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单价（元）</w:t>
            </w:r>
          </w:p>
        </w:tc>
        <w:tc>
          <w:tcPr>
            <w:tcW w:w="1275" w:type="dxa"/>
            <w:noWrap w:val="0"/>
            <w:vAlign w:val="center"/>
          </w:tcPr>
          <w:p w14:paraId="40B38FD5">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合计（元）</w:t>
            </w:r>
          </w:p>
        </w:tc>
      </w:tr>
      <w:tr w14:paraId="675A2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F53DD48">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w:t>
            </w:r>
          </w:p>
        </w:tc>
        <w:tc>
          <w:tcPr>
            <w:tcW w:w="1543" w:type="dxa"/>
            <w:noWrap w:val="0"/>
            <w:vAlign w:val="center"/>
          </w:tcPr>
          <w:p w14:paraId="42D52072">
            <w:pPr>
              <w:spacing w:line="300" w:lineRule="exact"/>
              <w:rPr>
                <w:rFonts w:ascii="微软雅黑" w:hAnsi="微软雅黑" w:eastAsia="微软雅黑" w:cs="微软雅黑"/>
                <w:sz w:val="24"/>
                <w:szCs w:val="24"/>
                <w:highlight w:val="none"/>
              </w:rPr>
            </w:pPr>
          </w:p>
        </w:tc>
        <w:tc>
          <w:tcPr>
            <w:tcW w:w="1831" w:type="dxa"/>
            <w:noWrap w:val="0"/>
            <w:vAlign w:val="top"/>
          </w:tcPr>
          <w:p w14:paraId="1AF5C2E7">
            <w:pPr>
              <w:spacing w:line="300" w:lineRule="exact"/>
              <w:rPr>
                <w:rFonts w:ascii="微软雅黑" w:hAnsi="微软雅黑" w:eastAsia="微软雅黑" w:cs="微软雅黑"/>
                <w:sz w:val="24"/>
                <w:szCs w:val="24"/>
                <w:highlight w:val="none"/>
              </w:rPr>
            </w:pPr>
          </w:p>
        </w:tc>
        <w:tc>
          <w:tcPr>
            <w:tcW w:w="1590" w:type="dxa"/>
            <w:noWrap w:val="0"/>
            <w:vAlign w:val="top"/>
          </w:tcPr>
          <w:p w14:paraId="6C77E23F">
            <w:pPr>
              <w:spacing w:line="300" w:lineRule="exact"/>
              <w:rPr>
                <w:rFonts w:ascii="微软雅黑" w:hAnsi="微软雅黑" w:eastAsia="微软雅黑" w:cs="微软雅黑"/>
                <w:sz w:val="24"/>
                <w:szCs w:val="24"/>
                <w:highlight w:val="none"/>
              </w:rPr>
            </w:pPr>
          </w:p>
        </w:tc>
        <w:tc>
          <w:tcPr>
            <w:tcW w:w="2249" w:type="dxa"/>
            <w:noWrap w:val="0"/>
            <w:vAlign w:val="top"/>
          </w:tcPr>
          <w:p w14:paraId="0D96147E">
            <w:pPr>
              <w:spacing w:line="300" w:lineRule="exact"/>
              <w:rPr>
                <w:rFonts w:ascii="微软雅黑" w:hAnsi="微软雅黑" w:eastAsia="微软雅黑" w:cs="微软雅黑"/>
                <w:sz w:val="24"/>
                <w:szCs w:val="24"/>
                <w:highlight w:val="none"/>
              </w:rPr>
            </w:pPr>
          </w:p>
        </w:tc>
        <w:tc>
          <w:tcPr>
            <w:tcW w:w="1275" w:type="dxa"/>
            <w:noWrap w:val="0"/>
            <w:vAlign w:val="top"/>
          </w:tcPr>
          <w:p w14:paraId="178B286A">
            <w:pPr>
              <w:spacing w:line="300" w:lineRule="exact"/>
              <w:rPr>
                <w:rFonts w:ascii="微软雅黑" w:hAnsi="微软雅黑" w:eastAsia="微软雅黑" w:cs="微软雅黑"/>
                <w:sz w:val="24"/>
                <w:szCs w:val="24"/>
                <w:highlight w:val="none"/>
              </w:rPr>
            </w:pPr>
          </w:p>
        </w:tc>
      </w:tr>
      <w:tr w14:paraId="0CDB9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BA83960">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2</w:t>
            </w:r>
          </w:p>
        </w:tc>
        <w:tc>
          <w:tcPr>
            <w:tcW w:w="1543" w:type="dxa"/>
            <w:noWrap w:val="0"/>
            <w:vAlign w:val="center"/>
          </w:tcPr>
          <w:p w14:paraId="63E2238A">
            <w:pPr>
              <w:spacing w:line="300" w:lineRule="exact"/>
              <w:rPr>
                <w:rFonts w:ascii="微软雅黑" w:hAnsi="微软雅黑" w:eastAsia="微软雅黑" w:cs="微软雅黑"/>
                <w:sz w:val="24"/>
                <w:szCs w:val="24"/>
                <w:highlight w:val="none"/>
              </w:rPr>
            </w:pPr>
          </w:p>
        </w:tc>
        <w:tc>
          <w:tcPr>
            <w:tcW w:w="1831" w:type="dxa"/>
            <w:noWrap w:val="0"/>
            <w:vAlign w:val="top"/>
          </w:tcPr>
          <w:p w14:paraId="5998F27D">
            <w:pPr>
              <w:spacing w:line="300" w:lineRule="exact"/>
              <w:rPr>
                <w:rFonts w:ascii="微软雅黑" w:hAnsi="微软雅黑" w:eastAsia="微软雅黑" w:cs="微软雅黑"/>
                <w:sz w:val="24"/>
                <w:szCs w:val="24"/>
                <w:highlight w:val="none"/>
              </w:rPr>
            </w:pPr>
          </w:p>
        </w:tc>
        <w:tc>
          <w:tcPr>
            <w:tcW w:w="1590" w:type="dxa"/>
            <w:noWrap w:val="0"/>
            <w:vAlign w:val="top"/>
          </w:tcPr>
          <w:p w14:paraId="33F7A9E2">
            <w:pPr>
              <w:spacing w:line="300" w:lineRule="exact"/>
              <w:rPr>
                <w:rFonts w:ascii="微软雅黑" w:hAnsi="微软雅黑" w:eastAsia="微软雅黑" w:cs="微软雅黑"/>
                <w:sz w:val="24"/>
                <w:szCs w:val="24"/>
                <w:highlight w:val="none"/>
              </w:rPr>
            </w:pPr>
          </w:p>
        </w:tc>
        <w:tc>
          <w:tcPr>
            <w:tcW w:w="2249" w:type="dxa"/>
            <w:noWrap w:val="0"/>
            <w:vAlign w:val="top"/>
          </w:tcPr>
          <w:p w14:paraId="3E29EBE0">
            <w:pPr>
              <w:spacing w:line="300" w:lineRule="exact"/>
              <w:rPr>
                <w:rFonts w:ascii="微软雅黑" w:hAnsi="微软雅黑" w:eastAsia="微软雅黑" w:cs="微软雅黑"/>
                <w:sz w:val="24"/>
                <w:szCs w:val="24"/>
                <w:highlight w:val="none"/>
              </w:rPr>
            </w:pPr>
          </w:p>
        </w:tc>
        <w:tc>
          <w:tcPr>
            <w:tcW w:w="1275" w:type="dxa"/>
            <w:noWrap w:val="0"/>
            <w:vAlign w:val="top"/>
          </w:tcPr>
          <w:p w14:paraId="419E0D7F">
            <w:pPr>
              <w:spacing w:line="300" w:lineRule="exact"/>
              <w:rPr>
                <w:rFonts w:ascii="微软雅黑" w:hAnsi="微软雅黑" w:eastAsia="微软雅黑" w:cs="微软雅黑"/>
                <w:sz w:val="24"/>
                <w:szCs w:val="24"/>
                <w:highlight w:val="none"/>
              </w:rPr>
            </w:pPr>
          </w:p>
        </w:tc>
      </w:tr>
      <w:tr w14:paraId="5002E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7F070B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3</w:t>
            </w:r>
          </w:p>
        </w:tc>
        <w:tc>
          <w:tcPr>
            <w:tcW w:w="1543" w:type="dxa"/>
            <w:noWrap w:val="0"/>
            <w:vAlign w:val="center"/>
          </w:tcPr>
          <w:p w14:paraId="1C530A0D">
            <w:pPr>
              <w:spacing w:line="300" w:lineRule="exact"/>
              <w:rPr>
                <w:rFonts w:ascii="微软雅黑" w:hAnsi="微软雅黑" w:eastAsia="微软雅黑" w:cs="微软雅黑"/>
                <w:sz w:val="24"/>
                <w:szCs w:val="24"/>
                <w:highlight w:val="none"/>
              </w:rPr>
            </w:pPr>
          </w:p>
        </w:tc>
        <w:tc>
          <w:tcPr>
            <w:tcW w:w="1831" w:type="dxa"/>
            <w:noWrap w:val="0"/>
            <w:vAlign w:val="top"/>
          </w:tcPr>
          <w:p w14:paraId="0ADBB7A2">
            <w:pPr>
              <w:spacing w:line="300" w:lineRule="exact"/>
              <w:rPr>
                <w:rFonts w:ascii="微软雅黑" w:hAnsi="微软雅黑" w:eastAsia="微软雅黑" w:cs="微软雅黑"/>
                <w:sz w:val="24"/>
                <w:szCs w:val="24"/>
                <w:highlight w:val="none"/>
              </w:rPr>
            </w:pPr>
          </w:p>
        </w:tc>
        <w:tc>
          <w:tcPr>
            <w:tcW w:w="1590" w:type="dxa"/>
            <w:noWrap w:val="0"/>
            <w:vAlign w:val="top"/>
          </w:tcPr>
          <w:p w14:paraId="7B437B3B">
            <w:pPr>
              <w:spacing w:line="300" w:lineRule="exact"/>
              <w:rPr>
                <w:rFonts w:ascii="微软雅黑" w:hAnsi="微软雅黑" w:eastAsia="微软雅黑" w:cs="微软雅黑"/>
                <w:sz w:val="24"/>
                <w:szCs w:val="24"/>
                <w:highlight w:val="none"/>
              </w:rPr>
            </w:pPr>
          </w:p>
        </w:tc>
        <w:tc>
          <w:tcPr>
            <w:tcW w:w="2249" w:type="dxa"/>
            <w:noWrap w:val="0"/>
            <w:vAlign w:val="top"/>
          </w:tcPr>
          <w:p w14:paraId="227472E4">
            <w:pPr>
              <w:spacing w:line="300" w:lineRule="exact"/>
              <w:rPr>
                <w:rFonts w:ascii="微软雅黑" w:hAnsi="微软雅黑" w:eastAsia="微软雅黑" w:cs="微软雅黑"/>
                <w:sz w:val="24"/>
                <w:szCs w:val="24"/>
                <w:highlight w:val="none"/>
              </w:rPr>
            </w:pPr>
          </w:p>
        </w:tc>
        <w:tc>
          <w:tcPr>
            <w:tcW w:w="1275" w:type="dxa"/>
            <w:noWrap w:val="0"/>
            <w:vAlign w:val="top"/>
          </w:tcPr>
          <w:p w14:paraId="2C06FE28">
            <w:pPr>
              <w:spacing w:line="300" w:lineRule="exact"/>
              <w:rPr>
                <w:rFonts w:ascii="微软雅黑" w:hAnsi="微软雅黑" w:eastAsia="微软雅黑" w:cs="微软雅黑"/>
                <w:sz w:val="24"/>
                <w:szCs w:val="24"/>
                <w:highlight w:val="none"/>
              </w:rPr>
            </w:pPr>
          </w:p>
        </w:tc>
      </w:tr>
      <w:tr w14:paraId="3ABEB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A52133B">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4</w:t>
            </w:r>
          </w:p>
        </w:tc>
        <w:tc>
          <w:tcPr>
            <w:tcW w:w="1543" w:type="dxa"/>
            <w:noWrap w:val="0"/>
            <w:vAlign w:val="center"/>
          </w:tcPr>
          <w:p w14:paraId="7E28D004">
            <w:pPr>
              <w:spacing w:line="300" w:lineRule="exact"/>
              <w:rPr>
                <w:rFonts w:ascii="微软雅黑" w:hAnsi="微软雅黑" w:eastAsia="微软雅黑" w:cs="微软雅黑"/>
                <w:sz w:val="24"/>
                <w:szCs w:val="24"/>
                <w:highlight w:val="none"/>
              </w:rPr>
            </w:pPr>
          </w:p>
        </w:tc>
        <w:tc>
          <w:tcPr>
            <w:tcW w:w="1831" w:type="dxa"/>
            <w:noWrap w:val="0"/>
            <w:vAlign w:val="top"/>
          </w:tcPr>
          <w:p w14:paraId="6A48AF66">
            <w:pPr>
              <w:spacing w:line="300" w:lineRule="exact"/>
              <w:rPr>
                <w:rFonts w:ascii="微软雅黑" w:hAnsi="微软雅黑" w:eastAsia="微软雅黑" w:cs="微软雅黑"/>
                <w:sz w:val="24"/>
                <w:szCs w:val="24"/>
                <w:highlight w:val="none"/>
              </w:rPr>
            </w:pPr>
          </w:p>
        </w:tc>
        <w:tc>
          <w:tcPr>
            <w:tcW w:w="1590" w:type="dxa"/>
            <w:noWrap w:val="0"/>
            <w:vAlign w:val="top"/>
          </w:tcPr>
          <w:p w14:paraId="7D875474">
            <w:pPr>
              <w:spacing w:line="300" w:lineRule="exact"/>
              <w:rPr>
                <w:rFonts w:ascii="微软雅黑" w:hAnsi="微软雅黑" w:eastAsia="微软雅黑" w:cs="微软雅黑"/>
                <w:sz w:val="24"/>
                <w:szCs w:val="24"/>
                <w:highlight w:val="none"/>
              </w:rPr>
            </w:pPr>
          </w:p>
        </w:tc>
        <w:tc>
          <w:tcPr>
            <w:tcW w:w="2249" w:type="dxa"/>
            <w:noWrap w:val="0"/>
            <w:vAlign w:val="top"/>
          </w:tcPr>
          <w:p w14:paraId="685CAAC3">
            <w:pPr>
              <w:spacing w:line="300" w:lineRule="exact"/>
              <w:rPr>
                <w:rFonts w:ascii="微软雅黑" w:hAnsi="微软雅黑" w:eastAsia="微软雅黑" w:cs="微软雅黑"/>
                <w:sz w:val="24"/>
                <w:szCs w:val="24"/>
                <w:highlight w:val="none"/>
              </w:rPr>
            </w:pPr>
          </w:p>
        </w:tc>
        <w:tc>
          <w:tcPr>
            <w:tcW w:w="1275" w:type="dxa"/>
            <w:noWrap w:val="0"/>
            <w:vAlign w:val="top"/>
          </w:tcPr>
          <w:p w14:paraId="21655023">
            <w:pPr>
              <w:spacing w:line="300" w:lineRule="exact"/>
              <w:rPr>
                <w:rFonts w:ascii="微软雅黑" w:hAnsi="微软雅黑" w:eastAsia="微软雅黑" w:cs="微软雅黑"/>
                <w:sz w:val="24"/>
                <w:szCs w:val="24"/>
                <w:highlight w:val="none"/>
              </w:rPr>
            </w:pPr>
          </w:p>
        </w:tc>
      </w:tr>
      <w:tr w14:paraId="63F7C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0FB5A2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5</w:t>
            </w:r>
          </w:p>
        </w:tc>
        <w:tc>
          <w:tcPr>
            <w:tcW w:w="1543" w:type="dxa"/>
            <w:noWrap w:val="0"/>
            <w:vAlign w:val="center"/>
          </w:tcPr>
          <w:p w14:paraId="0ABCC790">
            <w:pPr>
              <w:spacing w:line="300" w:lineRule="exact"/>
              <w:rPr>
                <w:rFonts w:ascii="微软雅黑" w:hAnsi="微软雅黑" w:eastAsia="微软雅黑" w:cs="微软雅黑"/>
                <w:sz w:val="24"/>
                <w:szCs w:val="24"/>
                <w:highlight w:val="none"/>
              </w:rPr>
            </w:pPr>
          </w:p>
        </w:tc>
        <w:tc>
          <w:tcPr>
            <w:tcW w:w="1831" w:type="dxa"/>
            <w:noWrap w:val="0"/>
            <w:vAlign w:val="top"/>
          </w:tcPr>
          <w:p w14:paraId="0CF481E2">
            <w:pPr>
              <w:spacing w:line="300" w:lineRule="exact"/>
              <w:rPr>
                <w:rFonts w:ascii="微软雅黑" w:hAnsi="微软雅黑" w:eastAsia="微软雅黑" w:cs="微软雅黑"/>
                <w:sz w:val="24"/>
                <w:szCs w:val="24"/>
                <w:highlight w:val="none"/>
              </w:rPr>
            </w:pPr>
          </w:p>
        </w:tc>
        <w:tc>
          <w:tcPr>
            <w:tcW w:w="1590" w:type="dxa"/>
            <w:noWrap w:val="0"/>
            <w:vAlign w:val="top"/>
          </w:tcPr>
          <w:p w14:paraId="29AF06FF">
            <w:pPr>
              <w:spacing w:line="300" w:lineRule="exact"/>
              <w:rPr>
                <w:rFonts w:ascii="微软雅黑" w:hAnsi="微软雅黑" w:eastAsia="微软雅黑" w:cs="微软雅黑"/>
                <w:sz w:val="24"/>
                <w:szCs w:val="24"/>
                <w:highlight w:val="none"/>
              </w:rPr>
            </w:pPr>
          </w:p>
        </w:tc>
        <w:tc>
          <w:tcPr>
            <w:tcW w:w="2249" w:type="dxa"/>
            <w:noWrap w:val="0"/>
            <w:vAlign w:val="top"/>
          </w:tcPr>
          <w:p w14:paraId="0A4B40D1">
            <w:pPr>
              <w:spacing w:line="300" w:lineRule="exact"/>
              <w:rPr>
                <w:rFonts w:ascii="微软雅黑" w:hAnsi="微软雅黑" w:eastAsia="微软雅黑" w:cs="微软雅黑"/>
                <w:sz w:val="24"/>
                <w:szCs w:val="24"/>
                <w:highlight w:val="none"/>
              </w:rPr>
            </w:pPr>
          </w:p>
        </w:tc>
        <w:tc>
          <w:tcPr>
            <w:tcW w:w="1275" w:type="dxa"/>
            <w:noWrap w:val="0"/>
            <w:vAlign w:val="top"/>
          </w:tcPr>
          <w:p w14:paraId="196E14A8">
            <w:pPr>
              <w:spacing w:line="300" w:lineRule="exact"/>
              <w:rPr>
                <w:rFonts w:ascii="微软雅黑" w:hAnsi="微软雅黑" w:eastAsia="微软雅黑" w:cs="微软雅黑"/>
                <w:sz w:val="24"/>
                <w:szCs w:val="24"/>
                <w:highlight w:val="none"/>
              </w:rPr>
            </w:pPr>
          </w:p>
        </w:tc>
      </w:tr>
      <w:tr w14:paraId="2B684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B13A84C">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6</w:t>
            </w:r>
          </w:p>
        </w:tc>
        <w:tc>
          <w:tcPr>
            <w:tcW w:w="1543" w:type="dxa"/>
            <w:noWrap w:val="0"/>
            <w:vAlign w:val="center"/>
          </w:tcPr>
          <w:p w14:paraId="7C0FBE8E">
            <w:pPr>
              <w:spacing w:line="300" w:lineRule="exact"/>
              <w:rPr>
                <w:rFonts w:ascii="微软雅黑" w:hAnsi="微软雅黑" w:eastAsia="微软雅黑" w:cs="微软雅黑"/>
                <w:sz w:val="24"/>
                <w:szCs w:val="24"/>
                <w:highlight w:val="none"/>
              </w:rPr>
            </w:pPr>
          </w:p>
        </w:tc>
        <w:tc>
          <w:tcPr>
            <w:tcW w:w="1831" w:type="dxa"/>
            <w:noWrap w:val="0"/>
            <w:vAlign w:val="top"/>
          </w:tcPr>
          <w:p w14:paraId="3494FDC5">
            <w:pPr>
              <w:spacing w:line="300" w:lineRule="exact"/>
              <w:rPr>
                <w:rFonts w:ascii="微软雅黑" w:hAnsi="微软雅黑" w:eastAsia="微软雅黑" w:cs="微软雅黑"/>
                <w:sz w:val="24"/>
                <w:szCs w:val="24"/>
                <w:highlight w:val="none"/>
              </w:rPr>
            </w:pPr>
          </w:p>
        </w:tc>
        <w:tc>
          <w:tcPr>
            <w:tcW w:w="1590" w:type="dxa"/>
            <w:noWrap w:val="0"/>
            <w:vAlign w:val="top"/>
          </w:tcPr>
          <w:p w14:paraId="44236623">
            <w:pPr>
              <w:spacing w:line="300" w:lineRule="exact"/>
              <w:rPr>
                <w:rFonts w:ascii="微软雅黑" w:hAnsi="微软雅黑" w:eastAsia="微软雅黑" w:cs="微软雅黑"/>
                <w:sz w:val="24"/>
                <w:szCs w:val="24"/>
                <w:highlight w:val="none"/>
              </w:rPr>
            </w:pPr>
          </w:p>
        </w:tc>
        <w:tc>
          <w:tcPr>
            <w:tcW w:w="2249" w:type="dxa"/>
            <w:noWrap w:val="0"/>
            <w:vAlign w:val="top"/>
          </w:tcPr>
          <w:p w14:paraId="78BE0BEE">
            <w:pPr>
              <w:spacing w:line="300" w:lineRule="exact"/>
              <w:rPr>
                <w:rFonts w:ascii="微软雅黑" w:hAnsi="微软雅黑" w:eastAsia="微软雅黑" w:cs="微软雅黑"/>
                <w:sz w:val="24"/>
                <w:szCs w:val="24"/>
                <w:highlight w:val="none"/>
              </w:rPr>
            </w:pPr>
          </w:p>
        </w:tc>
        <w:tc>
          <w:tcPr>
            <w:tcW w:w="1275" w:type="dxa"/>
            <w:noWrap w:val="0"/>
            <w:vAlign w:val="top"/>
          </w:tcPr>
          <w:p w14:paraId="79A68812">
            <w:pPr>
              <w:spacing w:line="300" w:lineRule="exact"/>
              <w:rPr>
                <w:rFonts w:ascii="微软雅黑" w:hAnsi="微软雅黑" w:eastAsia="微软雅黑" w:cs="微软雅黑"/>
                <w:sz w:val="24"/>
                <w:szCs w:val="24"/>
                <w:highlight w:val="none"/>
              </w:rPr>
            </w:pPr>
          </w:p>
        </w:tc>
      </w:tr>
      <w:tr w14:paraId="08F5A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C038B5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7</w:t>
            </w:r>
          </w:p>
        </w:tc>
        <w:tc>
          <w:tcPr>
            <w:tcW w:w="1543" w:type="dxa"/>
            <w:noWrap w:val="0"/>
            <w:vAlign w:val="center"/>
          </w:tcPr>
          <w:p w14:paraId="156FF99B">
            <w:pPr>
              <w:spacing w:line="300" w:lineRule="exact"/>
              <w:rPr>
                <w:rFonts w:hint="default" w:ascii="微软雅黑" w:hAnsi="微软雅黑" w:eastAsia="微软雅黑" w:cs="微软雅黑"/>
                <w:sz w:val="24"/>
                <w:szCs w:val="24"/>
                <w:highlight w:val="none"/>
                <w:lang w:val="en-US" w:eastAsia="zh-CN"/>
              </w:rPr>
            </w:pPr>
          </w:p>
        </w:tc>
        <w:tc>
          <w:tcPr>
            <w:tcW w:w="1831" w:type="dxa"/>
            <w:noWrap w:val="0"/>
            <w:vAlign w:val="top"/>
          </w:tcPr>
          <w:p w14:paraId="3180C4B5">
            <w:pPr>
              <w:spacing w:line="300" w:lineRule="exact"/>
              <w:rPr>
                <w:rFonts w:ascii="微软雅黑" w:hAnsi="微软雅黑" w:eastAsia="微软雅黑" w:cs="微软雅黑"/>
                <w:sz w:val="24"/>
                <w:szCs w:val="24"/>
                <w:highlight w:val="none"/>
              </w:rPr>
            </w:pPr>
          </w:p>
        </w:tc>
        <w:tc>
          <w:tcPr>
            <w:tcW w:w="1590" w:type="dxa"/>
            <w:noWrap w:val="0"/>
            <w:vAlign w:val="top"/>
          </w:tcPr>
          <w:p w14:paraId="7514B4D6">
            <w:pPr>
              <w:spacing w:line="300" w:lineRule="exact"/>
              <w:rPr>
                <w:rFonts w:ascii="微软雅黑" w:hAnsi="微软雅黑" w:eastAsia="微软雅黑" w:cs="微软雅黑"/>
                <w:sz w:val="24"/>
                <w:szCs w:val="24"/>
                <w:highlight w:val="none"/>
              </w:rPr>
            </w:pPr>
          </w:p>
        </w:tc>
        <w:tc>
          <w:tcPr>
            <w:tcW w:w="2249" w:type="dxa"/>
            <w:noWrap w:val="0"/>
            <w:vAlign w:val="top"/>
          </w:tcPr>
          <w:p w14:paraId="53E28EA9">
            <w:pPr>
              <w:spacing w:line="300" w:lineRule="exact"/>
              <w:rPr>
                <w:rFonts w:ascii="微软雅黑" w:hAnsi="微软雅黑" w:eastAsia="微软雅黑" w:cs="微软雅黑"/>
                <w:sz w:val="24"/>
                <w:szCs w:val="24"/>
                <w:highlight w:val="none"/>
              </w:rPr>
            </w:pPr>
          </w:p>
        </w:tc>
        <w:tc>
          <w:tcPr>
            <w:tcW w:w="1275" w:type="dxa"/>
            <w:noWrap w:val="0"/>
            <w:vAlign w:val="top"/>
          </w:tcPr>
          <w:p w14:paraId="26851E63">
            <w:pPr>
              <w:spacing w:line="300" w:lineRule="exact"/>
              <w:rPr>
                <w:rFonts w:ascii="微软雅黑" w:hAnsi="微软雅黑" w:eastAsia="微软雅黑" w:cs="微软雅黑"/>
                <w:sz w:val="24"/>
                <w:szCs w:val="24"/>
                <w:highlight w:val="none"/>
              </w:rPr>
            </w:pPr>
          </w:p>
        </w:tc>
      </w:tr>
      <w:tr w14:paraId="6075C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9C148FA">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8</w:t>
            </w:r>
          </w:p>
        </w:tc>
        <w:tc>
          <w:tcPr>
            <w:tcW w:w="1543" w:type="dxa"/>
            <w:noWrap w:val="0"/>
            <w:vAlign w:val="center"/>
          </w:tcPr>
          <w:p w14:paraId="7B31639B">
            <w:pPr>
              <w:spacing w:line="300" w:lineRule="exact"/>
              <w:rPr>
                <w:rFonts w:ascii="微软雅黑" w:hAnsi="微软雅黑" w:eastAsia="微软雅黑" w:cs="微软雅黑"/>
                <w:sz w:val="24"/>
                <w:szCs w:val="24"/>
                <w:highlight w:val="none"/>
              </w:rPr>
            </w:pPr>
          </w:p>
        </w:tc>
        <w:tc>
          <w:tcPr>
            <w:tcW w:w="1831" w:type="dxa"/>
            <w:noWrap w:val="0"/>
            <w:vAlign w:val="top"/>
          </w:tcPr>
          <w:p w14:paraId="78F6FD03">
            <w:pPr>
              <w:spacing w:line="300" w:lineRule="exact"/>
              <w:rPr>
                <w:rFonts w:ascii="微软雅黑" w:hAnsi="微软雅黑" w:eastAsia="微软雅黑" w:cs="微软雅黑"/>
                <w:sz w:val="24"/>
                <w:szCs w:val="24"/>
                <w:highlight w:val="none"/>
              </w:rPr>
            </w:pPr>
          </w:p>
        </w:tc>
        <w:tc>
          <w:tcPr>
            <w:tcW w:w="1590" w:type="dxa"/>
            <w:noWrap w:val="0"/>
            <w:vAlign w:val="top"/>
          </w:tcPr>
          <w:p w14:paraId="049DFC87">
            <w:pPr>
              <w:spacing w:line="300" w:lineRule="exact"/>
              <w:rPr>
                <w:rFonts w:ascii="微软雅黑" w:hAnsi="微软雅黑" w:eastAsia="微软雅黑" w:cs="微软雅黑"/>
                <w:sz w:val="24"/>
                <w:szCs w:val="24"/>
                <w:highlight w:val="none"/>
              </w:rPr>
            </w:pPr>
          </w:p>
        </w:tc>
        <w:tc>
          <w:tcPr>
            <w:tcW w:w="2249" w:type="dxa"/>
            <w:noWrap w:val="0"/>
            <w:vAlign w:val="top"/>
          </w:tcPr>
          <w:p w14:paraId="5FA6DB5C">
            <w:pPr>
              <w:spacing w:line="300" w:lineRule="exact"/>
              <w:rPr>
                <w:rFonts w:ascii="微软雅黑" w:hAnsi="微软雅黑" w:eastAsia="微软雅黑" w:cs="微软雅黑"/>
                <w:sz w:val="24"/>
                <w:szCs w:val="24"/>
                <w:highlight w:val="none"/>
              </w:rPr>
            </w:pPr>
          </w:p>
        </w:tc>
        <w:tc>
          <w:tcPr>
            <w:tcW w:w="1275" w:type="dxa"/>
            <w:noWrap w:val="0"/>
            <w:vAlign w:val="top"/>
          </w:tcPr>
          <w:p w14:paraId="4B91F430">
            <w:pPr>
              <w:spacing w:line="300" w:lineRule="exact"/>
              <w:rPr>
                <w:rFonts w:ascii="微软雅黑" w:hAnsi="微软雅黑" w:eastAsia="微软雅黑" w:cs="微软雅黑"/>
                <w:sz w:val="24"/>
                <w:szCs w:val="24"/>
                <w:highlight w:val="none"/>
              </w:rPr>
            </w:pPr>
          </w:p>
        </w:tc>
      </w:tr>
      <w:tr w14:paraId="637D4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189CA2F">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9</w:t>
            </w:r>
          </w:p>
        </w:tc>
        <w:tc>
          <w:tcPr>
            <w:tcW w:w="1543" w:type="dxa"/>
            <w:noWrap w:val="0"/>
            <w:vAlign w:val="center"/>
          </w:tcPr>
          <w:p w14:paraId="5D7ADB9C">
            <w:pPr>
              <w:spacing w:line="300" w:lineRule="exact"/>
              <w:rPr>
                <w:rFonts w:ascii="微软雅黑" w:hAnsi="微软雅黑" w:eastAsia="微软雅黑" w:cs="微软雅黑"/>
                <w:sz w:val="24"/>
                <w:szCs w:val="24"/>
                <w:highlight w:val="none"/>
              </w:rPr>
            </w:pPr>
          </w:p>
        </w:tc>
        <w:tc>
          <w:tcPr>
            <w:tcW w:w="1831" w:type="dxa"/>
            <w:noWrap w:val="0"/>
            <w:vAlign w:val="top"/>
          </w:tcPr>
          <w:p w14:paraId="3BB0B26A">
            <w:pPr>
              <w:spacing w:line="300" w:lineRule="exact"/>
              <w:rPr>
                <w:rFonts w:ascii="微软雅黑" w:hAnsi="微软雅黑" w:eastAsia="微软雅黑" w:cs="微软雅黑"/>
                <w:sz w:val="24"/>
                <w:szCs w:val="24"/>
                <w:highlight w:val="none"/>
              </w:rPr>
            </w:pPr>
          </w:p>
        </w:tc>
        <w:tc>
          <w:tcPr>
            <w:tcW w:w="1590" w:type="dxa"/>
            <w:noWrap w:val="0"/>
            <w:vAlign w:val="top"/>
          </w:tcPr>
          <w:p w14:paraId="43B55A71">
            <w:pPr>
              <w:spacing w:line="300" w:lineRule="exact"/>
              <w:rPr>
                <w:rFonts w:ascii="微软雅黑" w:hAnsi="微软雅黑" w:eastAsia="微软雅黑" w:cs="微软雅黑"/>
                <w:sz w:val="24"/>
                <w:szCs w:val="24"/>
                <w:highlight w:val="none"/>
              </w:rPr>
            </w:pPr>
          </w:p>
        </w:tc>
        <w:tc>
          <w:tcPr>
            <w:tcW w:w="2249" w:type="dxa"/>
            <w:noWrap w:val="0"/>
            <w:vAlign w:val="top"/>
          </w:tcPr>
          <w:p w14:paraId="71FC18B2">
            <w:pPr>
              <w:spacing w:line="300" w:lineRule="exact"/>
              <w:rPr>
                <w:rFonts w:ascii="微软雅黑" w:hAnsi="微软雅黑" w:eastAsia="微软雅黑" w:cs="微软雅黑"/>
                <w:sz w:val="24"/>
                <w:szCs w:val="24"/>
                <w:highlight w:val="none"/>
              </w:rPr>
            </w:pPr>
          </w:p>
        </w:tc>
        <w:tc>
          <w:tcPr>
            <w:tcW w:w="1275" w:type="dxa"/>
            <w:noWrap w:val="0"/>
            <w:vAlign w:val="top"/>
          </w:tcPr>
          <w:p w14:paraId="573C182A">
            <w:pPr>
              <w:spacing w:line="300" w:lineRule="exact"/>
              <w:rPr>
                <w:rFonts w:ascii="微软雅黑" w:hAnsi="微软雅黑" w:eastAsia="微软雅黑" w:cs="微软雅黑"/>
                <w:sz w:val="24"/>
                <w:szCs w:val="24"/>
                <w:highlight w:val="none"/>
              </w:rPr>
            </w:pPr>
          </w:p>
        </w:tc>
      </w:tr>
      <w:tr w14:paraId="19100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A6469A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10</w:t>
            </w:r>
          </w:p>
        </w:tc>
        <w:tc>
          <w:tcPr>
            <w:tcW w:w="1543" w:type="dxa"/>
            <w:noWrap w:val="0"/>
            <w:vAlign w:val="center"/>
          </w:tcPr>
          <w:p w14:paraId="0A164AB2">
            <w:pPr>
              <w:spacing w:line="300" w:lineRule="exact"/>
              <w:rPr>
                <w:rFonts w:ascii="微软雅黑" w:hAnsi="微软雅黑" w:eastAsia="微软雅黑" w:cs="微软雅黑"/>
                <w:sz w:val="24"/>
                <w:szCs w:val="24"/>
                <w:highlight w:val="none"/>
              </w:rPr>
            </w:pPr>
          </w:p>
        </w:tc>
        <w:tc>
          <w:tcPr>
            <w:tcW w:w="1831" w:type="dxa"/>
            <w:noWrap w:val="0"/>
            <w:vAlign w:val="top"/>
          </w:tcPr>
          <w:p w14:paraId="005C7CCA">
            <w:pPr>
              <w:spacing w:line="300" w:lineRule="exact"/>
              <w:rPr>
                <w:rFonts w:ascii="微软雅黑" w:hAnsi="微软雅黑" w:eastAsia="微软雅黑" w:cs="微软雅黑"/>
                <w:sz w:val="24"/>
                <w:szCs w:val="24"/>
                <w:highlight w:val="none"/>
              </w:rPr>
            </w:pPr>
          </w:p>
        </w:tc>
        <w:tc>
          <w:tcPr>
            <w:tcW w:w="1590" w:type="dxa"/>
            <w:noWrap w:val="0"/>
            <w:vAlign w:val="top"/>
          </w:tcPr>
          <w:p w14:paraId="2AC1E0E4">
            <w:pPr>
              <w:spacing w:line="300" w:lineRule="exact"/>
              <w:rPr>
                <w:rFonts w:ascii="微软雅黑" w:hAnsi="微软雅黑" w:eastAsia="微软雅黑" w:cs="微软雅黑"/>
                <w:sz w:val="24"/>
                <w:szCs w:val="24"/>
                <w:highlight w:val="none"/>
              </w:rPr>
            </w:pPr>
          </w:p>
        </w:tc>
        <w:tc>
          <w:tcPr>
            <w:tcW w:w="2249" w:type="dxa"/>
            <w:noWrap w:val="0"/>
            <w:vAlign w:val="top"/>
          </w:tcPr>
          <w:p w14:paraId="6D3FF2B2">
            <w:pPr>
              <w:spacing w:line="300" w:lineRule="exact"/>
              <w:rPr>
                <w:rFonts w:ascii="微软雅黑" w:hAnsi="微软雅黑" w:eastAsia="微软雅黑" w:cs="微软雅黑"/>
                <w:sz w:val="24"/>
                <w:szCs w:val="24"/>
                <w:highlight w:val="none"/>
              </w:rPr>
            </w:pPr>
          </w:p>
        </w:tc>
        <w:tc>
          <w:tcPr>
            <w:tcW w:w="1275" w:type="dxa"/>
            <w:noWrap w:val="0"/>
            <w:vAlign w:val="top"/>
          </w:tcPr>
          <w:p w14:paraId="6008084D">
            <w:pPr>
              <w:spacing w:line="300" w:lineRule="exact"/>
              <w:rPr>
                <w:rFonts w:ascii="微软雅黑" w:hAnsi="微软雅黑" w:eastAsia="微软雅黑" w:cs="微软雅黑"/>
                <w:sz w:val="24"/>
                <w:szCs w:val="24"/>
                <w:highlight w:val="none"/>
              </w:rPr>
            </w:pPr>
          </w:p>
        </w:tc>
      </w:tr>
      <w:tr w14:paraId="6C80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4621D46">
            <w:pPr>
              <w:pStyle w:val="26"/>
              <w:spacing w:line="300" w:lineRule="exact"/>
              <w:ind w:left="0"/>
              <w:jc w:val="center"/>
              <w:rPr>
                <w:rFonts w:ascii="微软雅黑" w:hAnsi="微软雅黑" w:eastAsia="微软雅黑" w:cs="微软雅黑"/>
                <w:sz w:val="24"/>
                <w:szCs w:val="24"/>
                <w:highlight w:val="none"/>
              </w:rPr>
            </w:pPr>
          </w:p>
        </w:tc>
        <w:tc>
          <w:tcPr>
            <w:tcW w:w="1543" w:type="dxa"/>
            <w:noWrap w:val="0"/>
            <w:vAlign w:val="center"/>
          </w:tcPr>
          <w:p w14:paraId="3EC66D9B">
            <w:pPr>
              <w:spacing w:line="300" w:lineRule="exact"/>
              <w:rPr>
                <w:rFonts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总计（元）</w:t>
            </w:r>
          </w:p>
        </w:tc>
        <w:tc>
          <w:tcPr>
            <w:tcW w:w="6945" w:type="dxa"/>
            <w:gridSpan w:val="4"/>
            <w:noWrap w:val="0"/>
            <w:vAlign w:val="center"/>
          </w:tcPr>
          <w:p w14:paraId="0F607B65">
            <w:pPr>
              <w:spacing w:line="300" w:lineRule="exact"/>
              <w:rPr>
                <w:rFonts w:ascii="微软雅黑" w:hAnsi="微软雅黑" w:eastAsia="微软雅黑" w:cs="微软雅黑"/>
                <w:sz w:val="24"/>
                <w:szCs w:val="24"/>
                <w:highlight w:val="none"/>
              </w:rPr>
            </w:pPr>
          </w:p>
        </w:tc>
      </w:tr>
    </w:tbl>
    <w:p w14:paraId="0A705B98">
      <w:pPr>
        <w:pStyle w:val="11"/>
        <w:ind w:firstLine="0"/>
        <w:rPr>
          <w:rFonts w:hint="eastAsia"/>
          <w:highlight w:val="none"/>
        </w:rPr>
      </w:pPr>
    </w:p>
    <w:p w14:paraId="05F54ED1">
      <w:pPr>
        <w:keepNext w:val="0"/>
        <w:keepLines w:val="0"/>
        <w:pageBreakBefore w:val="0"/>
        <w:widowControl w:val="0"/>
        <w:kinsoku/>
        <w:wordWrap/>
        <w:overflowPunct/>
        <w:topLinePunct w:val="0"/>
        <w:autoSpaceDE/>
        <w:autoSpaceDN/>
        <w:bidi w:val="0"/>
        <w:adjustRightInd/>
        <w:snapToGrid w:val="0"/>
        <w:spacing w:line="500" w:lineRule="exact"/>
        <w:ind w:firstLine="834" w:firstLineChars="300"/>
        <w:textAlignment w:val="auto"/>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备</w:t>
      </w:r>
      <w:r>
        <w:rPr>
          <w:rFonts w:hint="eastAsia" w:ascii="微软雅黑" w:hAnsi="微软雅黑" w:eastAsia="微软雅黑" w:cs="微软雅黑"/>
          <w:sz w:val="30"/>
          <w:szCs w:val="30"/>
          <w:highlight w:val="none"/>
        </w:rPr>
        <w:t>注：</w:t>
      </w: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本表可根据项目实际情况调整，并逐页盖章；</w:t>
      </w:r>
    </w:p>
    <w:p w14:paraId="3CFD4947">
      <w:pPr>
        <w:keepNext w:val="0"/>
        <w:keepLines w:val="0"/>
        <w:pageBreakBefore w:val="0"/>
        <w:widowControl w:val="0"/>
        <w:kinsoku/>
        <w:wordWrap/>
        <w:overflowPunct/>
        <w:topLinePunct w:val="0"/>
        <w:autoSpaceDE/>
        <w:autoSpaceDN/>
        <w:bidi w:val="0"/>
        <w:adjustRightInd/>
        <w:snapToGrid w:val="0"/>
        <w:spacing w:line="500" w:lineRule="exact"/>
        <w:ind w:left="804" w:leftChars="428" w:firstLine="834" w:firstLineChars="300"/>
        <w:textAlignment w:val="auto"/>
        <w:rPr>
          <w:rFonts w:hint="eastAsia" w:ascii="微软雅黑" w:hAnsi="微软雅黑" w:eastAsia="微软雅黑" w:cs="微软雅黑"/>
          <w:szCs w:val="30"/>
          <w:highlight w:val="none"/>
        </w:rPr>
      </w:pPr>
      <w:r>
        <w:rPr>
          <w:rFonts w:hint="eastAsia" w:ascii="微软雅黑" w:hAnsi="微软雅黑" w:eastAsia="微软雅黑" w:cs="微软雅黑"/>
          <w:sz w:val="30"/>
          <w:szCs w:val="30"/>
          <w:highlight w:val="none"/>
          <w:lang w:val="en-US" w:eastAsia="zh-CN"/>
        </w:rPr>
        <w:t>2.若设备涉及专机专用耗材、试剂请单独报价，并作出重庆市最低价承诺，供采购人参考</w:t>
      </w:r>
      <w:r>
        <w:rPr>
          <w:rFonts w:hint="eastAsia" w:ascii="微软雅黑" w:hAnsi="微软雅黑" w:eastAsia="微软雅黑" w:cs="微软雅黑"/>
          <w:sz w:val="30"/>
          <w:szCs w:val="30"/>
          <w:highlight w:val="none"/>
        </w:rPr>
        <w:t>；</w:t>
      </w:r>
      <w:r>
        <w:rPr>
          <w:rFonts w:hint="eastAsia" w:ascii="微软雅黑" w:hAnsi="微软雅黑" w:eastAsia="微软雅黑" w:cs="微软雅黑"/>
          <w:szCs w:val="30"/>
          <w:highlight w:val="none"/>
        </w:rPr>
        <w:t xml:space="preserve"> </w:t>
      </w:r>
    </w:p>
    <w:p w14:paraId="7A69FD5D">
      <w:pPr>
        <w:spacing w:line="600" w:lineRule="exact"/>
        <w:ind w:firstLine="556" w:firstLineChars="200"/>
        <w:rPr>
          <w:rFonts w:ascii="微软雅黑" w:hAnsi="微软雅黑" w:eastAsia="微软雅黑" w:cs="微软雅黑"/>
          <w:sz w:val="30"/>
          <w:szCs w:val="30"/>
          <w:highlight w:val="none"/>
        </w:rPr>
      </w:pPr>
    </w:p>
    <w:p w14:paraId="3F3B2533">
      <w:pPr>
        <w:tabs>
          <w:tab w:val="left" w:pos="6300"/>
        </w:tabs>
        <w:snapToGrid w:val="0"/>
        <w:spacing w:line="600" w:lineRule="exact"/>
        <w:ind w:firstLine="556" w:firstLineChars="200"/>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lang w:val="en-US" w:eastAsia="zh-CN"/>
        </w:rPr>
        <w:t xml:space="preserve">                   </w:t>
      </w:r>
      <w:r>
        <w:rPr>
          <w:rFonts w:hint="eastAsia" w:ascii="微软雅黑" w:hAnsi="微软雅黑" w:eastAsia="微软雅黑" w:cs="微软雅黑"/>
          <w:sz w:val="30"/>
          <w:szCs w:val="30"/>
          <w:highlight w:val="none"/>
        </w:rPr>
        <w:t>供应商名称（公章）：</w:t>
      </w:r>
    </w:p>
    <w:p w14:paraId="3FFBA5A9">
      <w:pPr>
        <w:spacing w:line="594" w:lineRule="exact"/>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年</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月</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日</w:t>
      </w:r>
      <w:r>
        <w:rPr>
          <w:rFonts w:ascii="微软雅黑" w:hAnsi="微软雅黑" w:eastAsia="微软雅黑" w:cs="微软雅黑"/>
          <w:sz w:val="30"/>
          <w:szCs w:val="30"/>
          <w:highlight w:val="none"/>
        </w:rPr>
        <w:t xml:space="preserve"> </w:t>
      </w:r>
    </w:p>
    <w:p w14:paraId="6D8F9F87">
      <w:pPr>
        <w:rPr>
          <w:rFonts w:hint="eastAsia" w:ascii="微软雅黑" w:hAnsi="微软雅黑" w:eastAsia="微软雅黑"/>
          <w:b/>
          <w:bCs/>
          <w:sz w:val="32"/>
          <w:szCs w:val="32"/>
          <w:highlight w:val="none"/>
        </w:rPr>
      </w:pPr>
    </w:p>
    <w:p w14:paraId="4B6953C7">
      <w:pPr>
        <w:rPr>
          <w:rFonts w:hint="eastAsia" w:ascii="微软雅黑" w:hAnsi="微软雅黑" w:eastAsia="微软雅黑" w:cs="宋体"/>
          <w:b/>
          <w:bCs/>
          <w:sz w:val="32"/>
          <w:szCs w:val="32"/>
          <w:highlight w:val="none"/>
        </w:rPr>
      </w:pPr>
      <w:r>
        <w:rPr>
          <w:rFonts w:hint="eastAsia" w:ascii="微软雅黑" w:hAnsi="微软雅黑" w:eastAsia="微软雅黑"/>
          <w:b/>
          <w:bCs/>
          <w:sz w:val="32"/>
          <w:szCs w:val="32"/>
          <w:highlight w:val="none"/>
        </w:rPr>
        <w:t>技术参数</w:t>
      </w:r>
      <w:r>
        <w:rPr>
          <w:rFonts w:hint="eastAsia" w:ascii="微软雅黑" w:hAnsi="微软雅黑" w:eastAsia="微软雅黑" w:cs="宋体"/>
          <w:b/>
          <w:bCs/>
          <w:sz w:val="32"/>
          <w:szCs w:val="32"/>
          <w:highlight w:val="none"/>
        </w:rPr>
        <w:t>对照表</w:t>
      </w:r>
    </w:p>
    <w:p w14:paraId="54DC3DE4">
      <w:pPr>
        <w:spacing w:line="594" w:lineRule="exact"/>
        <w:jc w:val="both"/>
        <w:rPr>
          <w:rFonts w:hint="eastAsia" w:ascii="微软雅黑" w:hAnsi="微软雅黑" w:eastAsia="微软雅黑" w:cs="宋体"/>
          <w:b/>
          <w:bCs/>
          <w:sz w:val="32"/>
          <w:szCs w:val="32"/>
          <w:highlight w:val="none"/>
        </w:rPr>
      </w:pPr>
      <w:r>
        <w:rPr>
          <w:rFonts w:hint="eastAsia" w:ascii="方正仿宋_GBK" w:eastAsia="方正仿宋_GBK"/>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r>
        <w:rPr>
          <w:rFonts w:hint="eastAsia" w:ascii="微软雅黑" w:hAnsi="微软雅黑" w:eastAsia="微软雅黑"/>
          <w:sz w:val="30"/>
          <w:szCs w:val="30"/>
          <w:highlight w:val="none"/>
        </w:rPr>
        <w:t xml:space="preserve"> </w:t>
      </w:r>
    </w:p>
    <w:tbl>
      <w:tblPr>
        <w:tblStyle w:val="13"/>
        <w:tblpPr w:leftFromText="180" w:rightFromText="180" w:vertAnchor="text" w:horzAnchor="page" w:tblpX="476" w:tblpY="586"/>
        <w:tblOverlap w:val="never"/>
        <w:tblW w:w="107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2734"/>
        <w:gridCol w:w="3369"/>
        <w:gridCol w:w="2113"/>
        <w:gridCol w:w="1665"/>
      </w:tblGrid>
      <w:tr w14:paraId="22EEE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D0615F2">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序</w:t>
            </w:r>
            <w:r>
              <w:rPr>
                <w:rFonts w:hint="eastAsia" w:ascii="微软雅黑" w:hAnsi="微软雅黑" w:eastAsia="微软雅黑" w:cs="___WRD_EMBED_SUB_53"/>
                <w:sz w:val="30"/>
                <w:szCs w:val="30"/>
                <w:highlight w:val="none"/>
              </w:rPr>
              <w:t>号</w:t>
            </w: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11DCD51">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58A9BF8">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C739592">
            <w:pPr>
              <w:spacing w:line="594" w:lineRule="exact"/>
              <w:jc w:val="center"/>
              <w:rPr>
                <w:rFonts w:hint="eastAsia" w:ascii="微软雅黑" w:hAnsi="微软雅黑" w:eastAsia="微软雅黑" w:cs="宋体"/>
                <w:sz w:val="30"/>
                <w:szCs w:val="30"/>
                <w:highlight w:val="none"/>
              </w:rPr>
            </w:pPr>
            <w:r>
              <w:rPr>
                <w:rFonts w:hint="eastAsia" w:ascii="微软雅黑" w:hAnsi="微软雅黑" w:eastAsia="微软雅黑" w:cs="宋体"/>
                <w:sz w:val="30"/>
                <w:szCs w:val="30"/>
                <w:highlight w:val="none"/>
              </w:rPr>
              <w:t>是否偏离</w:t>
            </w:r>
          </w:p>
          <w:p w14:paraId="51ECF397">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909DDA9">
            <w:pPr>
              <w:spacing w:line="594" w:lineRule="exact"/>
              <w:jc w:val="center"/>
              <w:rPr>
                <w:rFonts w:hint="eastAsia" w:ascii="微软雅黑" w:hAnsi="微软雅黑" w:eastAsia="微软雅黑" w:cs="___WRD_EMBED_SUB_53"/>
                <w:sz w:val="30"/>
                <w:szCs w:val="30"/>
                <w:highlight w:val="none"/>
              </w:rPr>
            </w:pPr>
            <w:r>
              <w:rPr>
                <w:rFonts w:hint="eastAsia" w:ascii="微软雅黑" w:hAnsi="微软雅黑" w:eastAsia="微软雅黑" w:cs="___WRD_EMBED_SUB_53"/>
                <w:sz w:val="30"/>
                <w:szCs w:val="30"/>
                <w:highlight w:val="none"/>
                <w:lang w:val="en-US" w:eastAsia="zh-CN"/>
              </w:rPr>
              <w:t>佐证材料（页数）</w:t>
            </w:r>
          </w:p>
        </w:tc>
      </w:tr>
      <w:tr w14:paraId="095D1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A1733B3">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16C32607">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4FB64DA">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36B01B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7335A86">
            <w:pPr>
              <w:spacing w:line="594" w:lineRule="exact"/>
              <w:rPr>
                <w:rFonts w:hint="eastAsia" w:ascii="方正仿宋_GBK" w:eastAsia="方正仿宋_GBK"/>
                <w:sz w:val="30"/>
                <w:szCs w:val="30"/>
                <w:highlight w:val="none"/>
              </w:rPr>
            </w:pPr>
          </w:p>
        </w:tc>
      </w:tr>
      <w:tr w14:paraId="533F2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C17896C">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6CFA0A6B">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3F76F01">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0C9BAE0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4D70D6D">
            <w:pPr>
              <w:spacing w:line="594" w:lineRule="exact"/>
              <w:ind w:firstLine="556" w:firstLineChars="200"/>
              <w:rPr>
                <w:rFonts w:hint="eastAsia" w:ascii="方正仿宋_GBK" w:eastAsia="方正仿宋_GBK"/>
                <w:sz w:val="30"/>
                <w:szCs w:val="30"/>
                <w:highlight w:val="none"/>
              </w:rPr>
            </w:pPr>
          </w:p>
        </w:tc>
      </w:tr>
      <w:tr w14:paraId="33B9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AE2EF3E">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FA71AA4">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294B06D">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A0E9F5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D09FC9C">
            <w:pPr>
              <w:spacing w:line="594" w:lineRule="exact"/>
              <w:ind w:firstLine="556" w:firstLineChars="200"/>
              <w:rPr>
                <w:rFonts w:hint="eastAsia" w:ascii="方正仿宋_GBK" w:eastAsia="方正仿宋_GBK"/>
                <w:sz w:val="30"/>
                <w:szCs w:val="30"/>
                <w:highlight w:val="none"/>
              </w:rPr>
            </w:pPr>
          </w:p>
        </w:tc>
      </w:tr>
      <w:tr w14:paraId="0030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790A494D">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044F66C">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00958EC">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F62B0A6">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A91173D">
            <w:pPr>
              <w:spacing w:line="594" w:lineRule="exact"/>
              <w:ind w:firstLine="556" w:firstLineChars="200"/>
              <w:rPr>
                <w:rFonts w:hint="eastAsia" w:ascii="方正仿宋_GBK" w:eastAsia="方正仿宋_GBK"/>
                <w:sz w:val="30"/>
                <w:szCs w:val="30"/>
                <w:highlight w:val="none"/>
              </w:rPr>
            </w:pPr>
          </w:p>
        </w:tc>
      </w:tr>
      <w:tr w14:paraId="751E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8AB60B6">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EC8E226">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C90B930">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8C6D8A5">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6FC1D7C">
            <w:pPr>
              <w:spacing w:line="594" w:lineRule="exact"/>
              <w:ind w:firstLine="556" w:firstLineChars="200"/>
              <w:rPr>
                <w:rFonts w:hint="eastAsia" w:ascii="方正仿宋_GBK" w:eastAsia="方正仿宋_GBK"/>
                <w:sz w:val="30"/>
                <w:szCs w:val="30"/>
                <w:highlight w:val="none"/>
              </w:rPr>
            </w:pPr>
          </w:p>
        </w:tc>
      </w:tr>
      <w:tr w14:paraId="39878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C8A28B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EE92BF1">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B790D18">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11DB6C7">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B152ED0">
            <w:pPr>
              <w:spacing w:line="594" w:lineRule="exact"/>
              <w:ind w:firstLine="556" w:firstLineChars="200"/>
              <w:rPr>
                <w:rFonts w:hint="eastAsia" w:ascii="方正仿宋_GBK" w:eastAsia="方正仿宋_GBK"/>
                <w:sz w:val="30"/>
                <w:szCs w:val="30"/>
                <w:highlight w:val="none"/>
              </w:rPr>
            </w:pPr>
          </w:p>
        </w:tc>
      </w:tr>
      <w:tr w14:paraId="5CC7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8F0FFD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3CABD95">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233BE70">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CCEE634">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C7FD523">
            <w:pPr>
              <w:spacing w:line="594" w:lineRule="exact"/>
              <w:ind w:firstLine="556" w:firstLineChars="200"/>
              <w:rPr>
                <w:rFonts w:hint="eastAsia" w:ascii="方正仿宋_GBK" w:eastAsia="方正仿宋_GBK"/>
                <w:sz w:val="30"/>
                <w:szCs w:val="30"/>
                <w:highlight w:val="none"/>
              </w:rPr>
            </w:pPr>
          </w:p>
        </w:tc>
      </w:tr>
      <w:tr w14:paraId="3169E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1A9077C">
            <w:pPr>
              <w:spacing w:line="594" w:lineRule="exact"/>
              <w:ind w:firstLine="556" w:firstLineChars="200"/>
              <w:jc w:val="center"/>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ECEECDC">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CFF6A6B">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23375EEB">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28F0FA1">
            <w:pPr>
              <w:spacing w:line="594" w:lineRule="exact"/>
              <w:ind w:firstLine="556" w:firstLineChars="200"/>
              <w:rPr>
                <w:rFonts w:hint="eastAsia" w:ascii="方正仿宋_GBK" w:eastAsia="方正仿宋_GBK"/>
                <w:sz w:val="30"/>
                <w:szCs w:val="30"/>
                <w:highlight w:val="none"/>
              </w:rPr>
            </w:pPr>
          </w:p>
        </w:tc>
      </w:tr>
      <w:tr w14:paraId="423F3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54A2A83">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26FCDC5">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A3DD231">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29126A1">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60ED3B2">
            <w:pPr>
              <w:spacing w:line="594" w:lineRule="exact"/>
              <w:ind w:firstLine="556" w:firstLineChars="200"/>
              <w:rPr>
                <w:rFonts w:hint="eastAsia" w:ascii="方正仿宋_GBK" w:eastAsia="方正仿宋_GBK"/>
                <w:sz w:val="30"/>
                <w:szCs w:val="30"/>
                <w:highlight w:val="none"/>
              </w:rPr>
            </w:pPr>
          </w:p>
        </w:tc>
      </w:tr>
      <w:tr w14:paraId="11A5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FD69275">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8345760">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3975BF74">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B104B81">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29B7846A">
            <w:pPr>
              <w:spacing w:line="594" w:lineRule="exact"/>
              <w:ind w:firstLine="556" w:firstLineChars="200"/>
              <w:rPr>
                <w:rFonts w:hint="eastAsia" w:ascii="方正仿宋_GBK" w:eastAsia="方正仿宋_GBK"/>
                <w:sz w:val="30"/>
                <w:szCs w:val="30"/>
                <w:highlight w:val="none"/>
              </w:rPr>
            </w:pPr>
          </w:p>
        </w:tc>
      </w:tr>
    </w:tbl>
    <w:p w14:paraId="22F6FE23">
      <w:pPr>
        <w:spacing w:line="594" w:lineRule="exact"/>
        <w:jc w:val="left"/>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p>
    <w:p w14:paraId="7A78D065">
      <w:pPr>
        <w:keepNext w:val="0"/>
        <w:keepLines w:val="0"/>
        <w:pageBreakBefore w:val="0"/>
        <w:widowControl w:val="0"/>
        <w:kinsoku/>
        <w:wordWrap/>
        <w:overflowPunct/>
        <w:topLinePunct w:val="0"/>
        <w:autoSpaceDE/>
        <w:autoSpaceDN/>
        <w:bidi w:val="0"/>
        <w:adjustRightInd/>
        <w:snapToGrid/>
        <w:spacing w:line="500" w:lineRule="exact"/>
        <w:ind w:firstLine="556" w:firstLineChars="200"/>
        <w:textAlignment w:val="auto"/>
        <w:rPr>
          <w:rFonts w:hint="eastAsia" w:ascii="微软雅黑" w:hAnsi="微软雅黑" w:eastAsia="微软雅黑" w:cs="___WRD_EMBED_SUB_53"/>
          <w:sz w:val="30"/>
          <w:szCs w:val="30"/>
          <w:highlight w:val="none"/>
        </w:r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1.</w:t>
      </w:r>
      <w:r>
        <w:rPr>
          <w:rFonts w:hint="eastAsia" w:ascii="微软雅黑" w:hAnsi="微软雅黑" w:eastAsia="微软雅黑" w:cs="宋体"/>
          <w:sz w:val="30"/>
          <w:szCs w:val="30"/>
          <w:highlight w:val="none"/>
        </w:rPr>
        <w:t>对照表</w:t>
      </w:r>
      <w:r>
        <w:rPr>
          <w:rFonts w:hint="eastAsia" w:ascii="微软雅黑" w:hAnsi="微软雅黑" w:eastAsia="微软雅黑" w:cs="___WRD_EMBED_SUB_53"/>
          <w:sz w:val="30"/>
          <w:szCs w:val="30"/>
          <w:highlight w:val="none"/>
        </w:rPr>
        <w:t>内</w:t>
      </w:r>
      <w:r>
        <w:rPr>
          <w:rFonts w:hint="eastAsia" w:ascii="微软雅黑" w:hAnsi="微软雅黑" w:eastAsia="微软雅黑" w:cs="宋体"/>
          <w:sz w:val="30"/>
          <w:szCs w:val="30"/>
          <w:highlight w:val="none"/>
        </w:rPr>
        <w:t>容</w:t>
      </w:r>
      <w:r>
        <w:rPr>
          <w:rFonts w:hint="eastAsia" w:ascii="微软雅黑" w:hAnsi="微软雅黑" w:eastAsia="微软雅黑" w:cs="___WRD_EMBED_SUB_53"/>
          <w:sz w:val="30"/>
          <w:szCs w:val="30"/>
          <w:highlight w:val="none"/>
        </w:rPr>
        <w:t>应包含“技术参数”</w:t>
      </w:r>
      <w:r>
        <w:rPr>
          <w:rFonts w:hint="eastAsia" w:ascii="微软雅黑" w:hAnsi="微软雅黑" w:eastAsia="微软雅黑" w:cs="宋体"/>
          <w:sz w:val="30"/>
          <w:szCs w:val="30"/>
          <w:highlight w:val="none"/>
        </w:rPr>
        <w:t>中</w:t>
      </w:r>
      <w:r>
        <w:rPr>
          <w:rFonts w:hint="eastAsia" w:ascii="微软雅黑" w:hAnsi="微软雅黑" w:eastAsia="微软雅黑" w:cs="___WRD_EMBED_SUB_53"/>
          <w:sz w:val="30"/>
          <w:szCs w:val="30"/>
          <w:highlight w:val="none"/>
        </w:rPr>
        <w:t>的全部内</w:t>
      </w:r>
      <w:r>
        <w:rPr>
          <w:rFonts w:hint="eastAsia" w:ascii="微软雅黑" w:hAnsi="微软雅黑" w:eastAsia="微软雅黑" w:cs="宋体"/>
          <w:sz w:val="30"/>
          <w:szCs w:val="30"/>
          <w:highlight w:val="none"/>
        </w:rPr>
        <w:t>容</w:t>
      </w:r>
      <w:r>
        <w:rPr>
          <w:rFonts w:hint="eastAsia" w:ascii="微软雅黑" w:hAnsi="微软雅黑" w:eastAsia="微软雅黑" w:cs="宋体"/>
          <w:sz w:val="30"/>
          <w:szCs w:val="30"/>
          <w:highlight w:val="none"/>
          <w:lang w:eastAsia="zh-CN"/>
        </w:rPr>
        <w:t>，逐条响应</w:t>
      </w:r>
      <w:r>
        <w:rPr>
          <w:rFonts w:hint="eastAsia" w:ascii="微软雅黑" w:hAnsi="微软雅黑" w:eastAsia="微软雅黑" w:cs="___WRD_EMBED_SUB_53"/>
          <w:sz w:val="30"/>
          <w:szCs w:val="30"/>
          <w:highlight w:val="none"/>
        </w:rPr>
        <w:t>；</w:t>
      </w:r>
    </w:p>
    <w:p w14:paraId="1B18C0E9">
      <w:pPr>
        <w:keepNext w:val="0"/>
        <w:keepLines w:val="0"/>
        <w:pageBreakBefore w:val="0"/>
        <w:widowControl w:val="0"/>
        <w:numPr>
          <w:ilvl w:val="0"/>
          <w:numId w:val="5"/>
        </w:numPr>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须提供相应支撑材料，并标明页码，否则为无效投标；</w:t>
      </w:r>
    </w:p>
    <w:p w14:paraId="234D1C82">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3.此表可增减；</w:t>
      </w:r>
    </w:p>
    <w:p w14:paraId="5333A3A5">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default" w:ascii="微软雅黑" w:hAnsi="微软雅黑" w:eastAsia="微软雅黑" w:cs="宋体"/>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宋体"/>
          <w:b/>
          <w:bCs/>
          <w:sz w:val="30"/>
          <w:szCs w:val="30"/>
          <w:highlight w:val="none"/>
          <w:lang w:val="en-US" w:eastAsia="zh-CN"/>
        </w:rPr>
        <w:t>4.响应文件具体响应情况请注明自身技术参数或具体内容，不得照搬参数需求内容，否则视为无效响应；佐证材料对应页码的对应位置应用下划线标注出来，否则视为无效响应。</w:t>
      </w:r>
    </w:p>
    <w:p w14:paraId="5BF218A9">
      <w:pPr>
        <w:numPr>
          <w:ilvl w:val="0"/>
          <w:numId w:val="0"/>
        </w:numPr>
        <w:spacing w:line="594" w:lineRule="exact"/>
        <w:rPr>
          <w:rFonts w:hint="default" w:ascii="微软雅黑" w:hAnsi="微软雅黑" w:eastAsia="微软雅黑" w:cs="___WRD_EMBED_SUB_53"/>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___WRD_EMBED_SUB_53"/>
          <w:b/>
          <w:bCs/>
          <w:sz w:val="30"/>
          <w:szCs w:val="30"/>
          <w:highlight w:val="none"/>
          <w:lang w:val="en-US" w:eastAsia="zh-CN"/>
        </w:rPr>
        <w:t>技术参数对应的佐证材料</w:t>
      </w:r>
    </w:p>
    <w:p w14:paraId="0ADCD72F">
      <w:pPr>
        <w:spacing w:line="594" w:lineRule="exact"/>
        <w:rPr>
          <w:rFonts w:hint="eastAsia" w:ascii="微软雅黑" w:hAnsi="微软雅黑" w:eastAsia="微软雅黑"/>
          <w:b/>
          <w:bCs/>
          <w:sz w:val="32"/>
          <w:szCs w:val="32"/>
          <w:highlight w:val="none"/>
        </w:rPr>
      </w:pPr>
      <w:r>
        <w:rPr>
          <w:rFonts w:hint="eastAsia" w:ascii="微软雅黑" w:hAnsi="微软雅黑" w:eastAsia="微软雅黑"/>
          <w:b/>
          <w:bCs/>
          <w:sz w:val="32"/>
          <w:szCs w:val="32"/>
          <w:highlight w:val="none"/>
        </w:rPr>
        <w:t>商</w:t>
      </w:r>
      <w:r>
        <w:rPr>
          <w:rFonts w:hint="eastAsia" w:ascii="微软雅黑" w:hAnsi="微软雅黑" w:eastAsia="微软雅黑" w:cs="宋体"/>
          <w:b/>
          <w:bCs/>
          <w:sz w:val="32"/>
          <w:szCs w:val="32"/>
          <w:highlight w:val="none"/>
        </w:rPr>
        <w:t>务</w:t>
      </w:r>
      <w:r>
        <w:rPr>
          <w:rFonts w:hint="eastAsia" w:ascii="微软雅黑" w:hAnsi="微软雅黑" w:eastAsia="微软雅黑" w:cs="___WRD_EMBED_SUB_53"/>
          <w:b/>
          <w:bCs/>
          <w:sz w:val="32"/>
          <w:szCs w:val="32"/>
          <w:highlight w:val="none"/>
        </w:rPr>
        <w:t>要求</w:t>
      </w:r>
      <w:r>
        <w:rPr>
          <w:rFonts w:hint="eastAsia" w:ascii="微软雅黑" w:hAnsi="微软雅黑" w:eastAsia="微软雅黑" w:cs="宋体"/>
          <w:b/>
          <w:bCs/>
          <w:sz w:val="32"/>
          <w:szCs w:val="32"/>
          <w:highlight w:val="none"/>
        </w:rPr>
        <w:t>对照表</w:t>
      </w:r>
    </w:p>
    <w:p w14:paraId="09C64CAE">
      <w:pPr>
        <w:spacing w:line="594" w:lineRule="exact"/>
        <w:jc w:val="left"/>
        <w:rPr>
          <w:rFonts w:hint="eastAsia" w:ascii="微软雅黑" w:hAnsi="微软雅黑" w:eastAsia="微软雅黑"/>
          <w:sz w:val="30"/>
          <w:szCs w:val="30"/>
          <w:highlight w:val="none"/>
        </w:rPr>
      </w:pPr>
      <w:r>
        <w:rPr>
          <w:rFonts w:hint="eastAsia" w:ascii="方正仿宋_GBK" w:eastAsia="方正仿宋_GBK"/>
          <w:sz w:val="32"/>
          <w:szCs w:val="32"/>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tbl>
      <w:tblPr>
        <w:tblStyle w:val="13"/>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5"/>
        <w:gridCol w:w="2748"/>
        <w:gridCol w:w="2950"/>
        <w:gridCol w:w="1892"/>
      </w:tblGrid>
      <w:tr w14:paraId="4E86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912DD45">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类别</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689EF44">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01040E6">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A76F5BB">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是否偏离</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r>
      <w:tr w14:paraId="0B2AC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E939CF2">
            <w:pPr>
              <w:spacing w:line="594" w:lineRule="exact"/>
              <w:rPr>
                <w:rFonts w:hint="eastAsia" w:ascii="微软雅黑" w:hAnsi="微软雅黑" w:eastAsia="微软雅黑"/>
                <w:sz w:val="30"/>
                <w:szCs w:val="30"/>
                <w:highlight w:val="none"/>
              </w:rPr>
            </w:pPr>
            <w:r>
              <w:rPr>
                <w:rFonts w:hint="eastAsia" w:ascii="微软雅黑" w:hAnsi="微软雅黑" w:eastAsia="微软雅黑"/>
                <w:sz w:val="30"/>
                <w:szCs w:val="30"/>
                <w:highlight w:val="none"/>
                <w:lang w:val="en-US" w:eastAsia="zh-CN"/>
              </w:rPr>
              <w:t>基本资格条件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C13773A">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95F52B9">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A898F7A">
            <w:pPr>
              <w:spacing w:line="594" w:lineRule="exact"/>
              <w:ind w:firstLine="556" w:firstLineChars="200"/>
              <w:rPr>
                <w:rFonts w:hint="eastAsia" w:ascii="微软雅黑" w:hAnsi="微软雅黑" w:eastAsia="微软雅黑"/>
                <w:sz w:val="30"/>
                <w:szCs w:val="30"/>
                <w:highlight w:val="none"/>
              </w:rPr>
            </w:pPr>
          </w:p>
        </w:tc>
      </w:tr>
      <w:tr w14:paraId="3B8B7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ECB1A1F">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特定资格条件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364C4E27">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9B4D73A">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D5E43DF">
            <w:pPr>
              <w:spacing w:line="594" w:lineRule="exact"/>
              <w:ind w:firstLine="556" w:firstLineChars="200"/>
              <w:rPr>
                <w:rFonts w:hint="eastAsia" w:ascii="微软雅黑" w:hAnsi="微软雅黑" w:eastAsia="微软雅黑"/>
                <w:sz w:val="30"/>
                <w:szCs w:val="30"/>
                <w:highlight w:val="none"/>
              </w:rPr>
            </w:pPr>
          </w:p>
        </w:tc>
      </w:tr>
      <w:tr w14:paraId="3ECC0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6C243AF">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合同及交付期限</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281CAD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92F3825">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A7F8188">
            <w:pPr>
              <w:spacing w:line="594" w:lineRule="exact"/>
              <w:ind w:firstLine="556" w:firstLineChars="200"/>
              <w:rPr>
                <w:rFonts w:hint="eastAsia" w:ascii="微软雅黑" w:hAnsi="微软雅黑" w:eastAsia="微软雅黑"/>
                <w:sz w:val="30"/>
                <w:szCs w:val="30"/>
                <w:highlight w:val="none"/>
              </w:rPr>
            </w:pPr>
          </w:p>
        </w:tc>
      </w:tr>
      <w:tr w14:paraId="2024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29B60841">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付款方式</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FD0C0E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50714B0">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E0ED96E">
            <w:pPr>
              <w:spacing w:line="594" w:lineRule="exact"/>
              <w:ind w:firstLine="556" w:firstLineChars="200"/>
              <w:rPr>
                <w:rFonts w:hint="eastAsia" w:ascii="微软雅黑" w:hAnsi="微软雅黑" w:eastAsia="微软雅黑"/>
                <w:sz w:val="30"/>
                <w:szCs w:val="30"/>
                <w:highlight w:val="none"/>
              </w:rPr>
            </w:pPr>
          </w:p>
        </w:tc>
      </w:tr>
      <w:tr w14:paraId="1CA14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113EED5">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验收方案</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77156CA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DFAF68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F898775">
            <w:pPr>
              <w:spacing w:line="594" w:lineRule="exact"/>
              <w:ind w:firstLine="556" w:firstLineChars="200"/>
              <w:rPr>
                <w:rFonts w:hint="eastAsia" w:ascii="微软雅黑" w:hAnsi="微软雅黑" w:eastAsia="微软雅黑"/>
                <w:sz w:val="30"/>
                <w:szCs w:val="30"/>
                <w:highlight w:val="none"/>
              </w:rPr>
            </w:pPr>
          </w:p>
        </w:tc>
      </w:tr>
      <w:tr w14:paraId="7767B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A5BC57D">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服务效果考核</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3D42187">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C020F9F">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6ED4ABC">
            <w:pPr>
              <w:spacing w:line="594" w:lineRule="exact"/>
              <w:ind w:firstLine="556" w:firstLineChars="200"/>
              <w:rPr>
                <w:rFonts w:hint="eastAsia" w:ascii="微软雅黑" w:hAnsi="微软雅黑" w:eastAsia="微软雅黑"/>
                <w:sz w:val="30"/>
                <w:szCs w:val="30"/>
                <w:highlight w:val="none"/>
              </w:rPr>
            </w:pPr>
          </w:p>
        </w:tc>
      </w:tr>
      <w:tr w14:paraId="19870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2366335">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配套服务</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3488182">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98440D7">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0111003">
            <w:pPr>
              <w:spacing w:line="594" w:lineRule="exact"/>
              <w:ind w:firstLine="556" w:firstLineChars="200"/>
              <w:rPr>
                <w:rFonts w:hint="eastAsia" w:ascii="微软雅黑" w:hAnsi="微软雅黑" w:eastAsia="微软雅黑"/>
                <w:sz w:val="30"/>
                <w:szCs w:val="30"/>
                <w:highlight w:val="none"/>
              </w:rPr>
            </w:pPr>
          </w:p>
        </w:tc>
      </w:tr>
      <w:tr w14:paraId="37AA9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91FEA0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投标保证金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26A6CB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6A59D5C">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A8342A5">
            <w:pPr>
              <w:spacing w:line="594" w:lineRule="exact"/>
              <w:ind w:firstLine="556" w:firstLineChars="200"/>
              <w:rPr>
                <w:rFonts w:hint="eastAsia" w:ascii="微软雅黑" w:hAnsi="微软雅黑" w:eastAsia="微软雅黑"/>
                <w:sz w:val="30"/>
                <w:szCs w:val="30"/>
                <w:highlight w:val="none"/>
              </w:rPr>
            </w:pPr>
          </w:p>
        </w:tc>
      </w:tr>
      <w:tr w14:paraId="402E1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09FB68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履约保证金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9F45BF9">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AF8FBF7">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C76B46E">
            <w:pPr>
              <w:spacing w:line="594" w:lineRule="exact"/>
              <w:ind w:firstLine="556" w:firstLineChars="200"/>
              <w:rPr>
                <w:rFonts w:hint="eastAsia" w:ascii="微软雅黑" w:hAnsi="微软雅黑" w:eastAsia="微软雅黑"/>
                <w:sz w:val="30"/>
                <w:szCs w:val="30"/>
                <w:highlight w:val="none"/>
              </w:rPr>
            </w:pPr>
          </w:p>
        </w:tc>
      </w:tr>
      <w:tr w14:paraId="5801F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EE3B0F">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违约责任</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0420F0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79D340BB">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283DB23">
            <w:pPr>
              <w:spacing w:line="594" w:lineRule="exact"/>
              <w:ind w:firstLine="556" w:firstLineChars="200"/>
              <w:rPr>
                <w:rFonts w:hint="eastAsia" w:ascii="微软雅黑" w:hAnsi="微软雅黑" w:eastAsia="微软雅黑"/>
                <w:sz w:val="30"/>
                <w:szCs w:val="30"/>
                <w:highlight w:val="none"/>
              </w:rPr>
            </w:pPr>
          </w:p>
        </w:tc>
      </w:tr>
      <w:tr w14:paraId="4F476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7B50724">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其他要求</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3448F4A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25E9074">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2610F5C">
            <w:pPr>
              <w:spacing w:line="594" w:lineRule="exact"/>
              <w:ind w:firstLine="556" w:firstLineChars="200"/>
              <w:rPr>
                <w:rFonts w:hint="eastAsia" w:ascii="微软雅黑" w:hAnsi="微软雅黑" w:eastAsia="微软雅黑"/>
                <w:sz w:val="30"/>
                <w:szCs w:val="30"/>
                <w:highlight w:val="none"/>
              </w:rPr>
            </w:pPr>
          </w:p>
        </w:tc>
      </w:tr>
      <w:tr w14:paraId="531F1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22347B">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无效响应情况</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590ED50">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5555975">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41F6FF1D">
            <w:pPr>
              <w:spacing w:line="594" w:lineRule="exact"/>
              <w:ind w:firstLine="556" w:firstLineChars="200"/>
              <w:rPr>
                <w:rFonts w:hint="eastAsia" w:ascii="微软雅黑" w:hAnsi="微软雅黑" w:eastAsia="微软雅黑"/>
                <w:sz w:val="30"/>
                <w:szCs w:val="30"/>
                <w:highlight w:val="none"/>
              </w:rPr>
            </w:pPr>
          </w:p>
        </w:tc>
      </w:tr>
    </w:tbl>
    <w:p w14:paraId="706DEBD2">
      <w:pPr>
        <w:spacing w:line="594" w:lineRule="exact"/>
        <w:ind w:firstLine="556" w:firstLineChars="200"/>
        <w:rPr>
          <w:rFonts w:hint="default" w:ascii="方正仿宋_GBK" w:eastAsia="微软雅黑"/>
          <w:sz w:val="32"/>
          <w:szCs w:val="32"/>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lang w:val="en-US" w:eastAsia="zh-CN"/>
        </w:rPr>
        <w:t>按照采购人全部商务要求逐条响应，</w:t>
      </w:r>
      <w:r>
        <w:rPr>
          <w:rFonts w:hint="eastAsia" w:ascii="微软雅黑" w:hAnsi="微软雅黑" w:eastAsia="微软雅黑" w:cs="宋体"/>
          <w:sz w:val="30"/>
          <w:szCs w:val="30"/>
          <w:highlight w:val="none"/>
        </w:rPr>
        <w:t>此表可增减</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响应内容不得完全照搬采购人要求，如采购人商务要求质保≥3年，供应商响应必须明确具体质保年限。</w:t>
      </w:r>
    </w:p>
    <w:p w14:paraId="1C038BA1">
      <w:pPr>
        <w:spacing w:line="594" w:lineRule="exact"/>
        <w:rPr>
          <w:rFonts w:hint="eastAsia" w:ascii="仿宋_GB2312" w:eastAsia="仿宋_GB2312" w:cs="宋体"/>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本项目其他采购人的业绩资料</w:t>
      </w:r>
    </w:p>
    <w:p w14:paraId="0129541B">
      <w:pPr>
        <w:spacing w:line="594" w:lineRule="exact"/>
        <w:rPr>
          <w:rFonts w:hint="eastAsia" w:ascii="微软雅黑" w:hAnsi="微软雅黑" w:eastAsia="微软雅黑"/>
          <w:b/>
          <w:bCs/>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其他可以证明投标人有能力完成本项目的佐证材料（如供应商简介、本项目人员安排、生产厂家或代理商授权等）</w:t>
      </w:r>
    </w:p>
    <w:p w14:paraId="21765880">
      <w:pPr>
        <w:rPr>
          <w:rFonts w:hint="eastAsia" w:ascii="仿宋_GB2312" w:eastAsia="仿宋_GB2312"/>
          <w:b/>
          <w:snapToGrid w:val="0"/>
          <w:color w:val="auto"/>
          <w:kern w:val="0"/>
          <w:sz w:val="28"/>
          <w:szCs w:val="28"/>
          <w:highlight w:val="none"/>
          <w:lang w:val="en-US" w:eastAsia="zh-CN"/>
        </w:rPr>
      </w:pPr>
      <w:r>
        <w:rPr>
          <w:rFonts w:hint="eastAsia" w:ascii="微软雅黑" w:hAnsi="微软雅黑" w:eastAsia="微软雅黑"/>
          <w:b/>
          <w:bCs/>
          <w:sz w:val="32"/>
          <w:szCs w:val="32"/>
          <w:highlight w:val="none"/>
          <w:lang w:val="en-US" w:eastAsia="zh-CN"/>
        </w:rPr>
        <w:t>供应商自愿提供其他资料</w:t>
      </w:r>
      <w:r>
        <w:rPr>
          <w:rFonts w:hint="eastAsia" w:ascii="仿宋_GB2312" w:eastAsia="仿宋_GB2312"/>
          <w:b/>
          <w:snapToGrid w:val="0"/>
          <w:color w:val="auto"/>
          <w:kern w:val="0"/>
          <w:sz w:val="28"/>
          <w:szCs w:val="28"/>
          <w:highlight w:val="none"/>
          <w:lang w:val="en-US" w:eastAsia="zh-CN"/>
        </w:rPr>
        <w:br w:type="page"/>
      </w:r>
    </w:p>
    <w:p w14:paraId="477EA5E3">
      <w:pPr>
        <w:spacing w:line="594" w:lineRule="exact"/>
        <w:jc w:val="left"/>
        <w:rPr>
          <w:rFonts w:hint="eastAsia" w:ascii="仿宋_GB2312" w:eastAsia="仿宋_GB2312" w:cs="宋体"/>
          <w:color w:val="auto"/>
          <w:sz w:val="32"/>
          <w:szCs w:val="32"/>
          <w:highlight w:val="none"/>
          <w:lang w:val="en-US" w:eastAsia="zh-CN"/>
        </w:rPr>
      </w:pPr>
      <w:r>
        <w:rPr>
          <w:rFonts w:hint="eastAsia" w:ascii="方正仿宋_GBK" w:hAnsi="方正仿宋_GBK" w:eastAsia="方正仿宋_GBK" w:cs="方正仿宋_GBK"/>
          <w:b/>
          <w:bCs/>
          <w:sz w:val="32"/>
          <w:szCs w:val="32"/>
          <w:highlight w:val="none"/>
          <w:lang w:eastAsia="zh-CN"/>
        </w:rPr>
        <w:t>配套</w:t>
      </w:r>
      <w:r>
        <w:rPr>
          <w:rFonts w:hint="eastAsia" w:ascii="方正仿宋_GBK" w:hAnsi="方正仿宋_GBK" w:eastAsia="方正仿宋_GBK" w:cs="方正仿宋_GBK"/>
          <w:b/>
          <w:bCs/>
          <w:sz w:val="32"/>
          <w:szCs w:val="32"/>
          <w:highlight w:val="none"/>
        </w:rPr>
        <w:t>服务承诺</w:t>
      </w:r>
    </w:p>
    <w:p w14:paraId="347A028F">
      <w:pPr>
        <w:spacing w:line="594" w:lineRule="exact"/>
        <w:ind w:firstLine="640" w:firstLineChars="200"/>
        <w:jc w:val="center"/>
        <w:rPr>
          <w:rFonts w:hint="eastAsia" w:ascii="微软雅黑" w:hAnsi="微软雅黑" w:eastAsia="微软雅黑"/>
          <w:b/>
          <w:bCs/>
          <w:sz w:val="32"/>
          <w:szCs w:val="32"/>
          <w:highlight w:val="none"/>
        </w:rPr>
      </w:pPr>
      <w:r>
        <w:rPr>
          <w:rFonts w:hint="eastAsia" w:ascii="微软雅黑" w:hAnsi="微软雅黑" w:eastAsia="微软雅黑" w:cs="宋体"/>
          <w:b/>
          <w:bCs/>
          <w:sz w:val="32"/>
          <w:szCs w:val="32"/>
          <w:highlight w:val="none"/>
          <w:lang w:eastAsia="zh-CN"/>
        </w:rPr>
        <w:t>配套</w:t>
      </w:r>
      <w:r>
        <w:rPr>
          <w:rFonts w:hint="eastAsia" w:ascii="微软雅黑" w:hAnsi="微软雅黑" w:eastAsia="微软雅黑" w:cs="宋体"/>
          <w:b/>
          <w:bCs/>
          <w:sz w:val="32"/>
          <w:szCs w:val="32"/>
          <w:highlight w:val="none"/>
        </w:rPr>
        <w:t>服务</w:t>
      </w:r>
      <w:r>
        <w:rPr>
          <w:rFonts w:hint="eastAsia" w:ascii="微软雅黑" w:hAnsi="微软雅黑" w:eastAsia="微软雅黑" w:cs="___WRD_EMBED_SUB_53"/>
          <w:b/>
          <w:bCs/>
          <w:sz w:val="32"/>
          <w:szCs w:val="32"/>
          <w:highlight w:val="none"/>
        </w:rPr>
        <w:t>承</w:t>
      </w:r>
      <w:r>
        <w:rPr>
          <w:rFonts w:hint="eastAsia" w:ascii="微软雅黑" w:hAnsi="微软雅黑" w:eastAsia="微软雅黑" w:cs="宋体"/>
          <w:b/>
          <w:bCs/>
          <w:sz w:val="32"/>
          <w:szCs w:val="32"/>
          <w:highlight w:val="none"/>
        </w:rPr>
        <w:t>诺</w:t>
      </w:r>
    </w:p>
    <w:p w14:paraId="0C52CCFA">
      <w:pPr>
        <w:spacing w:line="594" w:lineRule="exact"/>
        <w:ind w:firstLine="600" w:firstLineChars="200"/>
        <w:jc w:val="center"/>
        <w:rPr>
          <w:rFonts w:hint="eastAsia" w:ascii="微软雅黑" w:hAnsi="微软雅黑" w:eastAsia="微软雅黑"/>
          <w:sz w:val="30"/>
          <w:szCs w:val="30"/>
          <w:highlight w:val="none"/>
        </w:rPr>
      </w:pPr>
    </w:p>
    <w:p w14:paraId="2A126A2F">
      <w:pPr>
        <w:rPr>
          <w:rFonts w:hint="eastAsia" w:ascii="仿宋_GB2312" w:eastAsia="仿宋_GB2312" w:cs="宋体"/>
          <w:color w:val="auto"/>
          <w:sz w:val="32"/>
          <w:szCs w:val="32"/>
          <w:highlight w:val="none"/>
          <w:lang w:val="en-US" w:eastAsia="zh-CN"/>
        </w:rPr>
      </w:pPr>
    </w:p>
    <w:p w14:paraId="0F242CCD">
      <w:pPr>
        <w:rPr>
          <w:rFonts w:hint="eastAsia" w:ascii="仿宋_GB2312" w:hAnsi="宋体" w:eastAsia="仿宋_GB2312"/>
          <w:b/>
          <w:snapToGrid w:val="0"/>
          <w:color w:val="auto"/>
          <w:kern w:val="0"/>
          <w:sz w:val="40"/>
          <w:szCs w:val="28"/>
          <w:highlight w:val="none"/>
          <w:lang w:val="en-US" w:eastAsia="zh-CN"/>
        </w:rPr>
      </w:pPr>
    </w:p>
    <w:p w14:paraId="223017B3">
      <w:pPr>
        <w:rPr>
          <w:rFonts w:hint="eastAsia" w:ascii="仿宋_GB2312" w:hAnsi="宋体" w:eastAsia="仿宋_GB2312"/>
          <w:b/>
          <w:snapToGrid w:val="0"/>
          <w:color w:val="auto"/>
          <w:kern w:val="0"/>
          <w:sz w:val="40"/>
          <w:szCs w:val="28"/>
          <w:highlight w:val="none"/>
          <w:lang w:val="en-US" w:eastAsia="zh-CN"/>
        </w:rPr>
      </w:pPr>
    </w:p>
    <w:p w14:paraId="1B930EFC">
      <w:pPr>
        <w:rPr>
          <w:rFonts w:hint="eastAsia" w:ascii="仿宋_GB2312" w:hAnsi="宋体" w:eastAsia="仿宋_GB2312"/>
          <w:b/>
          <w:snapToGrid w:val="0"/>
          <w:color w:val="auto"/>
          <w:kern w:val="0"/>
          <w:sz w:val="40"/>
          <w:szCs w:val="28"/>
          <w:highlight w:val="none"/>
          <w:lang w:val="en-US" w:eastAsia="zh-CN"/>
        </w:rPr>
      </w:pPr>
    </w:p>
    <w:p w14:paraId="1F7015C6">
      <w:pPr>
        <w:rPr>
          <w:rFonts w:hint="eastAsia" w:ascii="仿宋_GB2312" w:hAnsi="宋体" w:eastAsia="仿宋_GB2312"/>
          <w:b/>
          <w:snapToGrid w:val="0"/>
          <w:color w:val="auto"/>
          <w:kern w:val="0"/>
          <w:sz w:val="40"/>
          <w:szCs w:val="28"/>
          <w:highlight w:val="none"/>
          <w:lang w:val="en-US" w:eastAsia="zh-CN"/>
        </w:rPr>
      </w:pPr>
    </w:p>
    <w:p w14:paraId="72C3E9F7">
      <w:pPr>
        <w:rPr>
          <w:rFonts w:hint="eastAsia" w:ascii="仿宋_GB2312" w:hAnsi="宋体" w:eastAsia="仿宋_GB2312"/>
          <w:b/>
          <w:snapToGrid w:val="0"/>
          <w:color w:val="auto"/>
          <w:kern w:val="0"/>
          <w:sz w:val="40"/>
          <w:szCs w:val="28"/>
          <w:highlight w:val="none"/>
          <w:lang w:val="en-US" w:eastAsia="zh-CN"/>
        </w:rPr>
      </w:pPr>
    </w:p>
    <w:p w14:paraId="2106A3C5">
      <w:pPr>
        <w:rPr>
          <w:rFonts w:hint="eastAsia" w:ascii="仿宋_GB2312" w:hAnsi="宋体" w:eastAsia="仿宋_GB2312"/>
          <w:b/>
          <w:snapToGrid w:val="0"/>
          <w:color w:val="auto"/>
          <w:kern w:val="0"/>
          <w:sz w:val="40"/>
          <w:szCs w:val="28"/>
          <w:highlight w:val="none"/>
          <w:lang w:val="en-US" w:eastAsia="zh-CN"/>
        </w:rPr>
      </w:pPr>
    </w:p>
    <w:p w14:paraId="4E2AE2B6">
      <w:pPr>
        <w:rPr>
          <w:rFonts w:hint="eastAsia" w:ascii="仿宋_GB2312" w:hAnsi="宋体" w:eastAsia="仿宋_GB2312"/>
          <w:b/>
          <w:snapToGrid w:val="0"/>
          <w:color w:val="auto"/>
          <w:kern w:val="0"/>
          <w:sz w:val="40"/>
          <w:szCs w:val="28"/>
          <w:highlight w:val="none"/>
          <w:lang w:val="en-US" w:eastAsia="zh-CN"/>
        </w:rPr>
      </w:pPr>
    </w:p>
    <w:p w14:paraId="13150C40">
      <w:pPr>
        <w:rPr>
          <w:rFonts w:hint="eastAsia" w:ascii="仿宋_GB2312" w:hAnsi="宋体" w:eastAsia="仿宋_GB2312"/>
          <w:b/>
          <w:snapToGrid w:val="0"/>
          <w:color w:val="auto"/>
          <w:kern w:val="0"/>
          <w:sz w:val="40"/>
          <w:szCs w:val="28"/>
          <w:highlight w:val="none"/>
          <w:lang w:val="en-US" w:eastAsia="zh-CN"/>
        </w:rPr>
      </w:pPr>
    </w:p>
    <w:p w14:paraId="4EF85469">
      <w:pPr>
        <w:rPr>
          <w:rFonts w:hint="eastAsia" w:ascii="仿宋_GB2312" w:hAnsi="宋体" w:eastAsia="仿宋_GB2312"/>
          <w:b/>
          <w:snapToGrid w:val="0"/>
          <w:color w:val="auto"/>
          <w:kern w:val="0"/>
          <w:sz w:val="40"/>
          <w:szCs w:val="28"/>
          <w:highlight w:val="none"/>
          <w:lang w:val="en-US" w:eastAsia="zh-CN"/>
        </w:rPr>
      </w:pPr>
    </w:p>
    <w:p w14:paraId="7111BC68">
      <w:pPr>
        <w:rPr>
          <w:rFonts w:hint="eastAsia" w:ascii="仿宋_GB2312" w:hAnsi="宋体" w:eastAsia="仿宋_GB2312"/>
          <w:b/>
          <w:snapToGrid w:val="0"/>
          <w:color w:val="auto"/>
          <w:kern w:val="0"/>
          <w:sz w:val="40"/>
          <w:szCs w:val="28"/>
          <w:highlight w:val="none"/>
          <w:lang w:val="en-US" w:eastAsia="zh-CN"/>
        </w:rPr>
      </w:pPr>
    </w:p>
    <w:p w14:paraId="61D52A6F">
      <w:pPr>
        <w:rPr>
          <w:rFonts w:hint="eastAsia" w:ascii="仿宋_GB2312" w:hAnsi="宋体" w:eastAsia="仿宋_GB2312"/>
          <w:b/>
          <w:snapToGrid w:val="0"/>
          <w:color w:val="auto"/>
          <w:kern w:val="0"/>
          <w:sz w:val="40"/>
          <w:szCs w:val="28"/>
          <w:highlight w:val="none"/>
          <w:lang w:val="en-US" w:eastAsia="zh-CN"/>
        </w:rPr>
      </w:pPr>
    </w:p>
    <w:p w14:paraId="6E0C14B3">
      <w:pPr>
        <w:rPr>
          <w:rFonts w:hint="eastAsia" w:ascii="仿宋_GB2312" w:hAnsi="宋体" w:eastAsia="仿宋_GB2312"/>
          <w:b/>
          <w:snapToGrid w:val="0"/>
          <w:color w:val="auto"/>
          <w:kern w:val="0"/>
          <w:sz w:val="40"/>
          <w:szCs w:val="28"/>
          <w:highlight w:val="none"/>
          <w:lang w:val="en-US" w:eastAsia="zh-CN"/>
        </w:rPr>
      </w:pPr>
    </w:p>
    <w:p w14:paraId="51232516">
      <w:pPr>
        <w:rPr>
          <w:rFonts w:hint="eastAsia" w:ascii="仿宋_GB2312" w:hAnsi="宋体" w:eastAsia="仿宋_GB2312"/>
          <w:b/>
          <w:snapToGrid w:val="0"/>
          <w:color w:val="auto"/>
          <w:kern w:val="0"/>
          <w:sz w:val="40"/>
          <w:szCs w:val="28"/>
          <w:highlight w:val="none"/>
          <w:lang w:val="en-US" w:eastAsia="zh-CN"/>
        </w:rPr>
      </w:pPr>
    </w:p>
    <w:p w14:paraId="6484A37D">
      <w:pPr>
        <w:rPr>
          <w:rFonts w:hint="eastAsia" w:ascii="仿宋_GB2312" w:hAnsi="宋体" w:eastAsia="仿宋_GB2312"/>
          <w:b/>
          <w:snapToGrid w:val="0"/>
          <w:color w:val="auto"/>
          <w:kern w:val="0"/>
          <w:sz w:val="40"/>
          <w:szCs w:val="28"/>
          <w:highlight w:val="none"/>
          <w:lang w:val="en-US" w:eastAsia="zh-CN"/>
        </w:rPr>
      </w:pPr>
    </w:p>
    <w:p w14:paraId="5E7946CB">
      <w:pPr>
        <w:rPr>
          <w:rFonts w:hint="eastAsia" w:ascii="仿宋_GB2312" w:hAnsi="宋体" w:eastAsia="仿宋_GB2312"/>
          <w:b/>
          <w:snapToGrid w:val="0"/>
          <w:color w:val="auto"/>
          <w:kern w:val="0"/>
          <w:sz w:val="40"/>
          <w:szCs w:val="28"/>
          <w:highlight w:val="none"/>
          <w:lang w:val="en-US" w:eastAsia="zh-CN"/>
        </w:rPr>
      </w:pPr>
    </w:p>
    <w:p w14:paraId="5B2980E5">
      <w:pPr>
        <w:rPr>
          <w:rFonts w:hint="eastAsia" w:ascii="仿宋_GB2312" w:hAnsi="宋体" w:eastAsia="仿宋_GB2312"/>
          <w:b/>
          <w:snapToGrid w:val="0"/>
          <w:color w:val="auto"/>
          <w:kern w:val="0"/>
          <w:sz w:val="40"/>
          <w:szCs w:val="28"/>
          <w:highlight w:val="none"/>
          <w:lang w:val="en-US" w:eastAsia="zh-CN"/>
        </w:rPr>
      </w:pPr>
    </w:p>
    <w:p w14:paraId="792DE593">
      <w:pPr>
        <w:rPr>
          <w:rFonts w:hint="eastAsia" w:ascii="仿宋_GB2312" w:hAnsi="宋体" w:eastAsia="仿宋_GB2312"/>
          <w:b/>
          <w:snapToGrid w:val="0"/>
          <w:color w:val="auto"/>
          <w:kern w:val="0"/>
          <w:sz w:val="40"/>
          <w:szCs w:val="28"/>
          <w:highlight w:val="none"/>
          <w:lang w:val="en-US" w:eastAsia="zh-CN"/>
        </w:rPr>
      </w:pPr>
    </w:p>
    <w:p w14:paraId="455D7BA9">
      <w:pPr>
        <w:pStyle w:val="5"/>
        <w:jc w:val="center"/>
        <w:rPr>
          <w:rFonts w:hint="eastAsia" w:ascii="仿宋_GB2312" w:hAnsi="宋体" w:eastAsia="仿宋_GB2312"/>
          <w:b/>
          <w:snapToGrid w:val="0"/>
          <w:color w:val="auto"/>
          <w:kern w:val="0"/>
          <w:sz w:val="40"/>
          <w:szCs w:val="28"/>
          <w:highlight w:val="none"/>
          <w:lang w:val="en-US" w:eastAsia="zh-CN"/>
        </w:rPr>
      </w:pPr>
    </w:p>
    <w:p w14:paraId="071DE0E9">
      <w:pPr>
        <w:pStyle w:val="5"/>
        <w:jc w:val="center"/>
        <w:rPr>
          <w:highlight w:val="none"/>
        </w:rPr>
      </w:pPr>
      <w:r>
        <w:rPr>
          <w:rFonts w:hint="eastAsia" w:ascii="仿宋_GB2312" w:hAnsi="宋体" w:eastAsia="仿宋_GB2312"/>
          <w:b/>
          <w:snapToGrid w:val="0"/>
          <w:color w:val="auto"/>
          <w:kern w:val="0"/>
          <w:sz w:val="40"/>
          <w:szCs w:val="28"/>
          <w:highlight w:val="none"/>
          <w:lang w:val="en-US" w:eastAsia="zh-CN"/>
        </w:rPr>
        <w:t>投标</w:t>
      </w:r>
      <w:r>
        <w:rPr>
          <w:rFonts w:hint="eastAsia" w:ascii="仿宋_GB2312" w:hAnsi="宋体" w:eastAsia="仿宋_GB2312"/>
          <w:b/>
          <w:snapToGrid w:val="0"/>
          <w:color w:val="auto"/>
          <w:kern w:val="0"/>
          <w:sz w:val="40"/>
          <w:szCs w:val="28"/>
          <w:highlight w:val="none"/>
        </w:rPr>
        <w:t>廉政承诺书</w:t>
      </w:r>
    </w:p>
    <w:p w14:paraId="7781ACE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71A2CE6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73444BC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随意撤回、撤销投标，中选后15天内签署合同。</w:t>
      </w:r>
    </w:p>
    <w:p w14:paraId="3561EEA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03C0D174">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7F24554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6870A0A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29E9A9DB">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2C60EBC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594CC4B2">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17F3A9F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70B8F681">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787B4DF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1A8741DE">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1A78D99F">
      <w:pPr>
        <w:keepNext w:val="0"/>
        <w:keepLines w:val="0"/>
        <w:pageBreakBefore w:val="0"/>
        <w:widowControl w:val="0"/>
        <w:kinsoku/>
        <w:overflowPunct/>
        <w:topLinePunct w:val="0"/>
        <w:autoSpaceDE/>
        <w:autoSpaceDN/>
        <w:bidi w:val="0"/>
        <w:adjustRightInd w:val="0"/>
        <w:snapToGrid w:val="0"/>
        <w:spacing w:line="400" w:lineRule="exact"/>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2C8B9E8D">
      <w:pPr>
        <w:keepNext w:val="0"/>
        <w:keepLines w:val="0"/>
        <w:pageBreakBefore w:val="0"/>
        <w:widowControl w:val="0"/>
        <w:kinsoku/>
        <w:wordWrap w:val="0"/>
        <w:overflowPunct/>
        <w:topLinePunct w:val="0"/>
        <w:autoSpaceDE/>
        <w:autoSpaceDN/>
        <w:bidi w:val="0"/>
        <w:adjustRightInd w:val="0"/>
        <w:snapToGrid w:val="0"/>
        <w:spacing w:line="400" w:lineRule="exact"/>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3DC24175">
      <w:pPr>
        <w:pStyle w:val="5"/>
        <w:keepNext w:val="0"/>
        <w:keepLines w:val="0"/>
        <w:pageBreakBefore w:val="0"/>
        <w:widowControl w:val="0"/>
        <w:kinsoku/>
        <w:wordWrap w:val="0"/>
        <w:overflowPunct/>
        <w:topLinePunct w:val="0"/>
        <w:autoSpaceDE/>
        <w:autoSpaceDN/>
        <w:bidi w:val="0"/>
        <w:spacing w:line="400" w:lineRule="exact"/>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27A00EF5">
      <w:pPr>
        <w:pStyle w:val="5"/>
        <w:jc w:val="both"/>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19D76132">
      <w:pPr>
        <w:rPr>
          <w:rFonts w:hint="eastAsia"/>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857D60"/>
    <w:multiLevelType w:val="singleLevel"/>
    <w:tmpl w:val="80857D60"/>
    <w:lvl w:ilvl="0" w:tentative="0">
      <w:start w:val="1"/>
      <w:numFmt w:val="chineseCounting"/>
      <w:suff w:val="nothing"/>
      <w:lvlText w:val="%1、"/>
      <w:lvlJc w:val="left"/>
      <w:rPr>
        <w:rFonts w:hint="eastAsia"/>
      </w:rPr>
    </w:lvl>
  </w:abstractNum>
  <w:abstractNum w:abstractNumId="1">
    <w:nsid w:val="880E7C6F"/>
    <w:multiLevelType w:val="singleLevel"/>
    <w:tmpl w:val="880E7C6F"/>
    <w:lvl w:ilvl="0" w:tentative="0">
      <w:start w:val="1"/>
      <w:numFmt w:val="decimal"/>
      <w:suff w:val="nothing"/>
      <w:lvlText w:val="%1．"/>
      <w:lvlJc w:val="left"/>
    </w:lvl>
  </w:abstractNum>
  <w:abstractNum w:abstractNumId="2">
    <w:nsid w:val="B25E35BA"/>
    <w:multiLevelType w:val="singleLevel"/>
    <w:tmpl w:val="B25E35BA"/>
    <w:lvl w:ilvl="0" w:tentative="0">
      <w:start w:val="2"/>
      <w:numFmt w:val="decimal"/>
      <w:lvlText w:val="%1."/>
      <w:lvlJc w:val="left"/>
      <w:pPr>
        <w:tabs>
          <w:tab w:val="left" w:pos="312"/>
        </w:tabs>
      </w:pPr>
    </w:lvl>
  </w:abstractNum>
  <w:abstractNum w:abstractNumId="3">
    <w:nsid w:val="2CF26E36"/>
    <w:multiLevelType w:val="multilevel"/>
    <w:tmpl w:val="2CF26E36"/>
    <w:lvl w:ilvl="0" w:tentative="0">
      <w:start w:val="1"/>
      <w:numFmt w:val="chineseCountingThousand"/>
      <w:pStyle w:val="2"/>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7"/>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5ODgwNTE0MzQyZDQ3ZGFhYzJhNTRjYjQ3MzkxMzkifQ=="/>
  </w:docVars>
  <w:rsids>
    <w:rsidRoot w:val="00000000"/>
    <w:rsid w:val="000A5C6E"/>
    <w:rsid w:val="00723690"/>
    <w:rsid w:val="00BB6D7D"/>
    <w:rsid w:val="014A6652"/>
    <w:rsid w:val="015B6D6E"/>
    <w:rsid w:val="027111C2"/>
    <w:rsid w:val="03404493"/>
    <w:rsid w:val="03C22F64"/>
    <w:rsid w:val="03CE68FB"/>
    <w:rsid w:val="041961A8"/>
    <w:rsid w:val="042E0790"/>
    <w:rsid w:val="04C70F47"/>
    <w:rsid w:val="04E723E0"/>
    <w:rsid w:val="052A5AE8"/>
    <w:rsid w:val="053E0EA6"/>
    <w:rsid w:val="056E5276"/>
    <w:rsid w:val="058D14E6"/>
    <w:rsid w:val="05ED287B"/>
    <w:rsid w:val="06FB539B"/>
    <w:rsid w:val="076E4620"/>
    <w:rsid w:val="07F82B6D"/>
    <w:rsid w:val="08BF2007"/>
    <w:rsid w:val="090305CD"/>
    <w:rsid w:val="09046655"/>
    <w:rsid w:val="098E4DDC"/>
    <w:rsid w:val="0A6144FC"/>
    <w:rsid w:val="0B993AA9"/>
    <w:rsid w:val="0C714BCF"/>
    <w:rsid w:val="0C872834"/>
    <w:rsid w:val="0C974041"/>
    <w:rsid w:val="0CE64C8D"/>
    <w:rsid w:val="0D026C5D"/>
    <w:rsid w:val="0D0C6C6B"/>
    <w:rsid w:val="0D1904D8"/>
    <w:rsid w:val="0D7D2DB9"/>
    <w:rsid w:val="0DDF63B0"/>
    <w:rsid w:val="0DF02F5A"/>
    <w:rsid w:val="0E0335B9"/>
    <w:rsid w:val="0E440BB0"/>
    <w:rsid w:val="0E6637FD"/>
    <w:rsid w:val="0E6753E5"/>
    <w:rsid w:val="0E9F1F75"/>
    <w:rsid w:val="0EAE2BD9"/>
    <w:rsid w:val="0EB67D00"/>
    <w:rsid w:val="0ECF0DC1"/>
    <w:rsid w:val="0F4D0AAA"/>
    <w:rsid w:val="0F8419BC"/>
    <w:rsid w:val="0F851480"/>
    <w:rsid w:val="0F9718DF"/>
    <w:rsid w:val="0FA0747C"/>
    <w:rsid w:val="0FD01451"/>
    <w:rsid w:val="0FE4089C"/>
    <w:rsid w:val="109113A8"/>
    <w:rsid w:val="116E3FA7"/>
    <w:rsid w:val="119032BE"/>
    <w:rsid w:val="11A55E09"/>
    <w:rsid w:val="11E8540A"/>
    <w:rsid w:val="11EE6888"/>
    <w:rsid w:val="11FE4005"/>
    <w:rsid w:val="12040D82"/>
    <w:rsid w:val="122D0B62"/>
    <w:rsid w:val="123245B3"/>
    <w:rsid w:val="12E91297"/>
    <w:rsid w:val="130F211F"/>
    <w:rsid w:val="133D5E0A"/>
    <w:rsid w:val="15080B11"/>
    <w:rsid w:val="153C16E7"/>
    <w:rsid w:val="15D4217A"/>
    <w:rsid w:val="15D96BE2"/>
    <w:rsid w:val="1706559C"/>
    <w:rsid w:val="17E53404"/>
    <w:rsid w:val="18EC242C"/>
    <w:rsid w:val="1922346A"/>
    <w:rsid w:val="19380134"/>
    <w:rsid w:val="19402EE9"/>
    <w:rsid w:val="19A97D0F"/>
    <w:rsid w:val="1A00445C"/>
    <w:rsid w:val="1A4300C9"/>
    <w:rsid w:val="1AAE2C67"/>
    <w:rsid w:val="1AF86BE0"/>
    <w:rsid w:val="1B3306B6"/>
    <w:rsid w:val="1BDD4D8A"/>
    <w:rsid w:val="1BDE0896"/>
    <w:rsid w:val="1BFA5B62"/>
    <w:rsid w:val="1C1979BC"/>
    <w:rsid w:val="1C4E1577"/>
    <w:rsid w:val="1C5E79A5"/>
    <w:rsid w:val="1C6472FC"/>
    <w:rsid w:val="1CA2408C"/>
    <w:rsid w:val="1CE4012E"/>
    <w:rsid w:val="1CF00EFC"/>
    <w:rsid w:val="1DB61742"/>
    <w:rsid w:val="1E676920"/>
    <w:rsid w:val="1E935967"/>
    <w:rsid w:val="1F0A567B"/>
    <w:rsid w:val="1F2F00AB"/>
    <w:rsid w:val="1F702630"/>
    <w:rsid w:val="1F8452B0"/>
    <w:rsid w:val="2027068C"/>
    <w:rsid w:val="205210D9"/>
    <w:rsid w:val="20746E51"/>
    <w:rsid w:val="20896382"/>
    <w:rsid w:val="20BC3722"/>
    <w:rsid w:val="212F6C8A"/>
    <w:rsid w:val="21426D4A"/>
    <w:rsid w:val="215F0650"/>
    <w:rsid w:val="22965A26"/>
    <w:rsid w:val="232F6FF2"/>
    <w:rsid w:val="233A4603"/>
    <w:rsid w:val="233D75DC"/>
    <w:rsid w:val="236757CC"/>
    <w:rsid w:val="23FB11F4"/>
    <w:rsid w:val="247973AD"/>
    <w:rsid w:val="263F0183"/>
    <w:rsid w:val="2657371E"/>
    <w:rsid w:val="278860E5"/>
    <w:rsid w:val="27F531EF"/>
    <w:rsid w:val="28256D6A"/>
    <w:rsid w:val="28275AF0"/>
    <w:rsid w:val="28A234E4"/>
    <w:rsid w:val="28EC134D"/>
    <w:rsid w:val="29AE2A56"/>
    <w:rsid w:val="2AC402DE"/>
    <w:rsid w:val="2AC62C21"/>
    <w:rsid w:val="2B19589B"/>
    <w:rsid w:val="2B6A7A50"/>
    <w:rsid w:val="2BAE2033"/>
    <w:rsid w:val="2BD1187D"/>
    <w:rsid w:val="2BDA4BD6"/>
    <w:rsid w:val="2C3529EE"/>
    <w:rsid w:val="2C5002AE"/>
    <w:rsid w:val="2CC21BF8"/>
    <w:rsid w:val="2CCA628B"/>
    <w:rsid w:val="2CCD0296"/>
    <w:rsid w:val="2D304052"/>
    <w:rsid w:val="2D3447B9"/>
    <w:rsid w:val="2DB81A56"/>
    <w:rsid w:val="2E0113DE"/>
    <w:rsid w:val="2E7B4030"/>
    <w:rsid w:val="2EB00769"/>
    <w:rsid w:val="2EEF5DC8"/>
    <w:rsid w:val="2F2F3117"/>
    <w:rsid w:val="2FC44243"/>
    <w:rsid w:val="306A297E"/>
    <w:rsid w:val="31092EA8"/>
    <w:rsid w:val="31B12793"/>
    <w:rsid w:val="31C0636A"/>
    <w:rsid w:val="33D97E69"/>
    <w:rsid w:val="33FB61AD"/>
    <w:rsid w:val="342C6BC9"/>
    <w:rsid w:val="345E1D92"/>
    <w:rsid w:val="348E0C53"/>
    <w:rsid w:val="35216558"/>
    <w:rsid w:val="355F2BEC"/>
    <w:rsid w:val="35761799"/>
    <w:rsid w:val="359B4383"/>
    <w:rsid w:val="35B94105"/>
    <w:rsid w:val="360845B7"/>
    <w:rsid w:val="36857E34"/>
    <w:rsid w:val="36ED77AA"/>
    <w:rsid w:val="37284806"/>
    <w:rsid w:val="375A7F25"/>
    <w:rsid w:val="376E6279"/>
    <w:rsid w:val="38A14340"/>
    <w:rsid w:val="392F4087"/>
    <w:rsid w:val="396A2364"/>
    <w:rsid w:val="397A17A6"/>
    <w:rsid w:val="3996258D"/>
    <w:rsid w:val="3A6A181A"/>
    <w:rsid w:val="3A800389"/>
    <w:rsid w:val="3AA63CE5"/>
    <w:rsid w:val="3AE0279F"/>
    <w:rsid w:val="3B5000A4"/>
    <w:rsid w:val="3B9A5C1E"/>
    <w:rsid w:val="3C384E8C"/>
    <w:rsid w:val="3C735239"/>
    <w:rsid w:val="3D485EC4"/>
    <w:rsid w:val="3D8263F7"/>
    <w:rsid w:val="3DBB253E"/>
    <w:rsid w:val="3DC47F4A"/>
    <w:rsid w:val="3DE758A5"/>
    <w:rsid w:val="3E490B2A"/>
    <w:rsid w:val="3E9B4AFA"/>
    <w:rsid w:val="3F010273"/>
    <w:rsid w:val="3F5C6F82"/>
    <w:rsid w:val="3F7A35A1"/>
    <w:rsid w:val="3FCA37A3"/>
    <w:rsid w:val="3FEF631E"/>
    <w:rsid w:val="3FF74CD3"/>
    <w:rsid w:val="40507E8F"/>
    <w:rsid w:val="40611EDD"/>
    <w:rsid w:val="41593545"/>
    <w:rsid w:val="42310E70"/>
    <w:rsid w:val="423F438F"/>
    <w:rsid w:val="43244531"/>
    <w:rsid w:val="44C5770F"/>
    <w:rsid w:val="44EF71C4"/>
    <w:rsid w:val="46452166"/>
    <w:rsid w:val="46496788"/>
    <w:rsid w:val="467D28D5"/>
    <w:rsid w:val="46F74436"/>
    <w:rsid w:val="474B1D32"/>
    <w:rsid w:val="475D7492"/>
    <w:rsid w:val="477F52E6"/>
    <w:rsid w:val="47A04ACD"/>
    <w:rsid w:val="47CA56A6"/>
    <w:rsid w:val="47D66741"/>
    <w:rsid w:val="47ED66D2"/>
    <w:rsid w:val="482D6FF9"/>
    <w:rsid w:val="484D010F"/>
    <w:rsid w:val="485B637D"/>
    <w:rsid w:val="48607974"/>
    <w:rsid w:val="48832656"/>
    <w:rsid w:val="496140CE"/>
    <w:rsid w:val="49995C78"/>
    <w:rsid w:val="4AE139DB"/>
    <w:rsid w:val="4B2941E0"/>
    <w:rsid w:val="4BDB0A24"/>
    <w:rsid w:val="4C31315D"/>
    <w:rsid w:val="4CB56EFC"/>
    <w:rsid w:val="4D001BA2"/>
    <w:rsid w:val="4D524E62"/>
    <w:rsid w:val="4DBB5261"/>
    <w:rsid w:val="4E0F32F4"/>
    <w:rsid w:val="4EF37BD9"/>
    <w:rsid w:val="4F2E29BF"/>
    <w:rsid w:val="4F5F392D"/>
    <w:rsid w:val="4F6D75ED"/>
    <w:rsid w:val="507F03F4"/>
    <w:rsid w:val="50A33062"/>
    <w:rsid w:val="50DC6F8F"/>
    <w:rsid w:val="5116436F"/>
    <w:rsid w:val="5128323B"/>
    <w:rsid w:val="51352B6B"/>
    <w:rsid w:val="51735001"/>
    <w:rsid w:val="51A72EFC"/>
    <w:rsid w:val="52181704"/>
    <w:rsid w:val="522417EF"/>
    <w:rsid w:val="52953EDE"/>
    <w:rsid w:val="52D53472"/>
    <w:rsid w:val="53A17F68"/>
    <w:rsid w:val="53D8739D"/>
    <w:rsid w:val="53DB6C22"/>
    <w:rsid w:val="53FB2F26"/>
    <w:rsid w:val="541D6876"/>
    <w:rsid w:val="54B6568B"/>
    <w:rsid w:val="55085A60"/>
    <w:rsid w:val="55A90FF1"/>
    <w:rsid w:val="55BB5978"/>
    <w:rsid w:val="55E24503"/>
    <w:rsid w:val="55F45FE4"/>
    <w:rsid w:val="5683561C"/>
    <w:rsid w:val="56A84D77"/>
    <w:rsid w:val="574216FD"/>
    <w:rsid w:val="586B764B"/>
    <w:rsid w:val="590456AD"/>
    <w:rsid w:val="59343196"/>
    <w:rsid w:val="599E0097"/>
    <w:rsid w:val="5A201514"/>
    <w:rsid w:val="5A5D05FC"/>
    <w:rsid w:val="5ABB2B2E"/>
    <w:rsid w:val="5ADB7D78"/>
    <w:rsid w:val="5B0F5D9A"/>
    <w:rsid w:val="5BB04DF0"/>
    <w:rsid w:val="5C6A3582"/>
    <w:rsid w:val="5C700ABB"/>
    <w:rsid w:val="5CAE778C"/>
    <w:rsid w:val="5D0C00B7"/>
    <w:rsid w:val="5D123920"/>
    <w:rsid w:val="5D5B2280"/>
    <w:rsid w:val="5D6C0A93"/>
    <w:rsid w:val="5D915A0E"/>
    <w:rsid w:val="5DBD061A"/>
    <w:rsid w:val="5E932E93"/>
    <w:rsid w:val="5ED014C1"/>
    <w:rsid w:val="5ED6097D"/>
    <w:rsid w:val="5F04373C"/>
    <w:rsid w:val="5F2E6ABA"/>
    <w:rsid w:val="5FA4498B"/>
    <w:rsid w:val="5FE71921"/>
    <w:rsid w:val="60480506"/>
    <w:rsid w:val="605A1F17"/>
    <w:rsid w:val="60643E84"/>
    <w:rsid w:val="60A246D9"/>
    <w:rsid w:val="61130716"/>
    <w:rsid w:val="61143219"/>
    <w:rsid w:val="6125074A"/>
    <w:rsid w:val="615C2960"/>
    <w:rsid w:val="61707CCC"/>
    <w:rsid w:val="618F69CF"/>
    <w:rsid w:val="61A6052D"/>
    <w:rsid w:val="61E83289"/>
    <w:rsid w:val="623E37BE"/>
    <w:rsid w:val="626B6216"/>
    <w:rsid w:val="628B104E"/>
    <w:rsid w:val="63097573"/>
    <w:rsid w:val="633D721D"/>
    <w:rsid w:val="635B1617"/>
    <w:rsid w:val="63814C5E"/>
    <w:rsid w:val="63C87B70"/>
    <w:rsid w:val="63FA2F2B"/>
    <w:rsid w:val="64077B7B"/>
    <w:rsid w:val="641D2F42"/>
    <w:rsid w:val="64607667"/>
    <w:rsid w:val="64AF5C1A"/>
    <w:rsid w:val="651C3DE1"/>
    <w:rsid w:val="65A11CE5"/>
    <w:rsid w:val="65AE7F5E"/>
    <w:rsid w:val="66A178F0"/>
    <w:rsid w:val="66E75E1D"/>
    <w:rsid w:val="671B1623"/>
    <w:rsid w:val="676C7036"/>
    <w:rsid w:val="67BC2E06"/>
    <w:rsid w:val="67CF5844"/>
    <w:rsid w:val="685314B5"/>
    <w:rsid w:val="685968A7"/>
    <w:rsid w:val="688E513D"/>
    <w:rsid w:val="69841E39"/>
    <w:rsid w:val="699456BD"/>
    <w:rsid w:val="69D01878"/>
    <w:rsid w:val="69F61ED3"/>
    <w:rsid w:val="6A1F4430"/>
    <w:rsid w:val="6A3540AA"/>
    <w:rsid w:val="6A8B4D12"/>
    <w:rsid w:val="6AAB53B4"/>
    <w:rsid w:val="6B247663"/>
    <w:rsid w:val="6B6970BF"/>
    <w:rsid w:val="6BCC55E2"/>
    <w:rsid w:val="6BDA6A70"/>
    <w:rsid w:val="6BF6265F"/>
    <w:rsid w:val="6C90660F"/>
    <w:rsid w:val="6D1F523E"/>
    <w:rsid w:val="6D38732A"/>
    <w:rsid w:val="6D9A5DB7"/>
    <w:rsid w:val="6DC24EEE"/>
    <w:rsid w:val="6DD05A39"/>
    <w:rsid w:val="6DE22002"/>
    <w:rsid w:val="6DFB3020"/>
    <w:rsid w:val="6E0252EB"/>
    <w:rsid w:val="6EC6360F"/>
    <w:rsid w:val="6EE24C47"/>
    <w:rsid w:val="6F9E4E89"/>
    <w:rsid w:val="6FB940CF"/>
    <w:rsid w:val="704D7FCB"/>
    <w:rsid w:val="70FF5B11"/>
    <w:rsid w:val="71025602"/>
    <w:rsid w:val="712B71E9"/>
    <w:rsid w:val="713118C3"/>
    <w:rsid w:val="714D0BAD"/>
    <w:rsid w:val="716B1BD6"/>
    <w:rsid w:val="71A165C4"/>
    <w:rsid w:val="71C02C3F"/>
    <w:rsid w:val="727B2178"/>
    <w:rsid w:val="72BB5C94"/>
    <w:rsid w:val="72FB7C35"/>
    <w:rsid w:val="730E59A8"/>
    <w:rsid w:val="732B3BA9"/>
    <w:rsid w:val="737511A4"/>
    <w:rsid w:val="73B01AE0"/>
    <w:rsid w:val="743B31FA"/>
    <w:rsid w:val="74463A57"/>
    <w:rsid w:val="74664EBC"/>
    <w:rsid w:val="748E4735"/>
    <w:rsid w:val="749649DF"/>
    <w:rsid w:val="74A2126A"/>
    <w:rsid w:val="74D6127F"/>
    <w:rsid w:val="74EA3555"/>
    <w:rsid w:val="750F77E4"/>
    <w:rsid w:val="75F96B4F"/>
    <w:rsid w:val="761A5C47"/>
    <w:rsid w:val="76320737"/>
    <w:rsid w:val="76B35332"/>
    <w:rsid w:val="76DD4F9D"/>
    <w:rsid w:val="77316A3F"/>
    <w:rsid w:val="774B1AB0"/>
    <w:rsid w:val="777A05E8"/>
    <w:rsid w:val="779416A9"/>
    <w:rsid w:val="77DC750A"/>
    <w:rsid w:val="77FA34D6"/>
    <w:rsid w:val="78024143"/>
    <w:rsid w:val="789842C8"/>
    <w:rsid w:val="78F42BEF"/>
    <w:rsid w:val="78F54CD1"/>
    <w:rsid w:val="799B64FC"/>
    <w:rsid w:val="7A3C22D7"/>
    <w:rsid w:val="7ACF7754"/>
    <w:rsid w:val="7AF0174A"/>
    <w:rsid w:val="7B203254"/>
    <w:rsid w:val="7B537186"/>
    <w:rsid w:val="7B5B245B"/>
    <w:rsid w:val="7B5C1973"/>
    <w:rsid w:val="7B6018A2"/>
    <w:rsid w:val="7BDE27F0"/>
    <w:rsid w:val="7C0B7A60"/>
    <w:rsid w:val="7C282565"/>
    <w:rsid w:val="7C4A1FD6"/>
    <w:rsid w:val="7C6F2CF1"/>
    <w:rsid w:val="7C6F561D"/>
    <w:rsid w:val="7CA659DB"/>
    <w:rsid w:val="7CAD6D69"/>
    <w:rsid w:val="7CB244A3"/>
    <w:rsid w:val="7CDB5685"/>
    <w:rsid w:val="7E4E00D8"/>
    <w:rsid w:val="7E8C71A6"/>
    <w:rsid w:val="7E9A0AAB"/>
    <w:rsid w:val="7EA6506C"/>
    <w:rsid w:val="7EE67CE4"/>
    <w:rsid w:val="7F714560"/>
    <w:rsid w:val="7F8D69DE"/>
    <w:rsid w:val="7FA70494"/>
    <w:rsid w:val="7FBC4A80"/>
    <w:rsid w:val="7FE6629E"/>
    <w:rsid w:val="7FFC4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3">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4">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宋体" w:hAnsi="宋体" w:cs="宋体"/>
      <w:sz w:val="24"/>
      <w:szCs w:val="24"/>
      <w:lang w:val="zh-CN" w:bidi="zh-CN"/>
    </w:rPr>
  </w:style>
  <w:style w:type="paragraph" w:styleId="6">
    <w:name w:val="Body Text Indent"/>
    <w:basedOn w:val="1"/>
    <w:qFormat/>
    <w:uiPriority w:val="99"/>
    <w:pPr>
      <w:spacing w:line="700" w:lineRule="exact"/>
      <w:ind w:left="960"/>
    </w:pPr>
    <w:rPr>
      <w:sz w:val="44"/>
    </w:rPr>
  </w:style>
  <w:style w:type="paragraph" w:styleId="7">
    <w:name w:val="Date"/>
    <w:basedOn w:val="1"/>
    <w:next w:val="1"/>
    <w:qFormat/>
    <w:uiPriority w:val="0"/>
    <w:rPr>
      <w:sz w:val="28"/>
    </w:rPr>
  </w:style>
  <w:style w:type="paragraph" w:styleId="8">
    <w:name w:val="footer"/>
    <w:basedOn w:val="1"/>
    <w:next w:val="1"/>
    <w:qFormat/>
    <w:uiPriority w:val="0"/>
    <w:pPr>
      <w:tabs>
        <w:tab w:val="center" w:pos="4153"/>
        <w:tab w:val="right" w:pos="8306"/>
      </w:tabs>
      <w:snapToGrid w:val="0"/>
      <w:jc w:val="left"/>
    </w:pPr>
    <w:rPr>
      <w:rFonts w:eastAsia="宋体"/>
      <w:kern w:val="2"/>
      <w:sz w:val="18"/>
      <w:lang w:val="en-US" w:eastAsia="zh-CN"/>
    </w:rPr>
  </w:style>
  <w:style w:type="paragraph" w:styleId="9">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Body Text First Indent"/>
    <w:basedOn w:val="5"/>
    <w:next w:val="12"/>
    <w:qFormat/>
    <w:uiPriority w:val="0"/>
    <w:pPr>
      <w:spacing w:line="360" w:lineRule="auto"/>
      <w:ind w:firstLine="420"/>
    </w:pPr>
    <w:rPr>
      <w:rFonts w:ascii="宋体" w:hAnsi="宋体"/>
      <w:sz w:val="24"/>
    </w:rPr>
  </w:style>
  <w:style w:type="paragraph" w:styleId="12">
    <w:name w:val="Body Text First Indent 2"/>
    <w:basedOn w:val="6"/>
    <w:qFormat/>
    <w:uiPriority w:val="0"/>
    <w:pPr>
      <w:spacing w:after="120" w:afterLines="0" w:line="240" w:lineRule="auto"/>
      <w:ind w:left="420" w:leftChars="200"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18">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19">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0">
    <w:name w:val="font91"/>
    <w:basedOn w:val="15"/>
    <w:qFormat/>
    <w:uiPriority w:val="0"/>
    <w:rPr>
      <w:rFonts w:ascii="楷体" w:hAnsi="楷体" w:eastAsia="楷体" w:cs="楷体"/>
      <w:color w:val="000000"/>
      <w:sz w:val="22"/>
      <w:szCs w:val="22"/>
      <w:u w:val="none"/>
      <w:vertAlign w:val="superscript"/>
    </w:rPr>
  </w:style>
  <w:style w:type="character" w:customStyle="1" w:styleId="21">
    <w:name w:val="font21"/>
    <w:basedOn w:val="15"/>
    <w:qFormat/>
    <w:uiPriority w:val="0"/>
    <w:rPr>
      <w:rFonts w:hint="eastAsia" w:ascii="仿宋" w:hAnsi="仿宋" w:eastAsia="仿宋" w:cs="仿宋"/>
      <w:b/>
      <w:bCs/>
      <w:color w:val="000000"/>
      <w:sz w:val="24"/>
      <w:szCs w:val="24"/>
      <w:u w:val="none"/>
    </w:rPr>
  </w:style>
  <w:style w:type="paragraph" w:customStyle="1" w:styleId="22">
    <w:name w:val="BodyText"/>
    <w:basedOn w:val="1"/>
    <w:next w:val="23"/>
    <w:qFormat/>
    <w:uiPriority w:val="0"/>
    <w:pPr>
      <w:jc w:val="both"/>
      <w:textAlignment w:val="baseline"/>
    </w:pPr>
    <w:rPr>
      <w:rFonts w:ascii="仿宋_GB2312" w:eastAsia="仿宋_GB2312"/>
      <w:kern w:val="2"/>
      <w:sz w:val="32"/>
      <w:lang w:val="en-US" w:eastAsia="zh-CN" w:bidi="ar-SA"/>
    </w:rPr>
  </w:style>
  <w:style w:type="paragraph" w:customStyle="1" w:styleId="23">
    <w:name w:val="BodyTextIndent"/>
    <w:basedOn w:val="1"/>
    <w:qFormat/>
    <w:uiPriority w:val="0"/>
    <w:pPr>
      <w:spacing w:line="700" w:lineRule="exact"/>
      <w:ind w:left="960"/>
      <w:jc w:val="both"/>
      <w:textAlignment w:val="baseline"/>
    </w:pPr>
    <w:rPr>
      <w:kern w:val="2"/>
      <w:sz w:val="44"/>
      <w:lang w:val="en-US" w:eastAsia="zh-CN" w:bidi="ar-SA"/>
    </w:rPr>
  </w:style>
  <w:style w:type="paragraph" w:styleId="24">
    <w:name w:val="List Paragraph"/>
    <w:basedOn w:val="1"/>
    <w:qFormat/>
    <w:uiPriority w:val="34"/>
    <w:pPr>
      <w:ind w:firstLine="420" w:firstLineChars="200"/>
    </w:pPr>
  </w:style>
  <w:style w:type="paragraph" w:customStyle="1" w:styleId="25">
    <w:name w:val="UserStyle_0"/>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6">
    <w:name w:val="正文文本缩进1"/>
    <w:basedOn w:val="1"/>
    <w:qFormat/>
    <w:uiPriority w:val="0"/>
    <w:pPr>
      <w:spacing w:line="700" w:lineRule="exact"/>
      <w:ind w:left="960"/>
    </w:pPr>
    <w:rPr>
      <w:sz w:val="44"/>
    </w:rPr>
  </w:style>
  <w:style w:type="character" w:customStyle="1" w:styleId="27">
    <w:name w:val="font11"/>
    <w:basedOn w:val="15"/>
    <w:qFormat/>
    <w:uiPriority w:val="0"/>
    <w:rPr>
      <w:rFonts w:hint="eastAsia" w:ascii="宋体" w:hAnsi="宋体" w:eastAsia="宋体" w:cs="宋体"/>
      <w:color w:val="000000"/>
      <w:sz w:val="24"/>
      <w:szCs w:val="24"/>
      <w:u w:val="none"/>
    </w:rPr>
  </w:style>
  <w:style w:type="paragraph" w:customStyle="1" w:styleId="28">
    <w:name w:val="Table Text"/>
    <w:basedOn w:val="1"/>
    <w:semiHidden/>
    <w:qFormat/>
    <w:uiPriority w:val="0"/>
    <w:rPr>
      <w:rFonts w:ascii="宋体" w:hAnsi="宋体" w:eastAsia="宋体" w:cs="宋体"/>
      <w:sz w:val="26"/>
      <w:szCs w:val="26"/>
      <w:lang w:val="en-US" w:eastAsia="en-US" w:bidi="ar-SA"/>
    </w:rPr>
  </w:style>
  <w:style w:type="table" w:customStyle="1" w:styleId="29">
    <w:name w:val="Table Normal"/>
    <w:semiHidden/>
    <w:unhideWhenUsed/>
    <w:qFormat/>
    <w:uiPriority w:val="0"/>
    <w:tblPr>
      <w:tblCellMar>
        <w:top w:w="0" w:type="dxa"/>
        <w:left w:w="0" w:type="dxa"/>
        <w:bottom w:w="0" w:type="dxa"/>
        <w:right w:w="0" w:type="dxa"/>
      </w:tblCellMar>
    </w:tblPr>
  </w:style>
  <w:style w:type="character" w:customStyle="1" w:styleId="30">
    <w:name w:val="font61"/>
    <w:basedOn w:val="15"/>
    <w:qFormat/>
    <w:uiPriority w:val="0"/>
    <w:rPr>
      <w:rFonts w:hint="eastAsia" w:ascii="宋体" w:hAnsi="宋体" w:eastAsia="宋体" w:cs="宋体"/>
      <w:color w:val="000000"/>
      <w:sz w:val="20"/>
      <w:szCs w:val="20"/>
      <w:u w:val="none"/>
    </w:rPr>
  </w:style>
  <w:style w:type="character" w:customStyle="1" w:styleId="31">
    <w:name w:val="font51"/>
    <w:basedOn w:val="15"/>
    <w:qFormat/>
    <w:uiPriority w:val="0"/>
    <w:rPr>
      <w:rFonts w:hint="eastAsia" w:ascii="宋体" w:hAnsi="宋体" w:eastAsia="宋体" w:cs="宋体"/>
      <w:color w:val="000000"/>
      <w:sz w:val="20"/>
      <w:szCs w:val="20"/>
      <w:u w:val="none"/>
    </w:rPr>
  </w:style>
  <w:style w:type="character" w:customStyle="1" w:styleId="32">
    <w:name w:val="font71"/>
    <w:basedOn w:val="15"/>
    <w:qFormat/>
    <w:uiPriority w:val="0"/>
    <w:rPr>
      <w:rFonts w:hint="eastAsia" w:ascii="宋体" w:hAnsi="宋体" w:eastAsia="宋体" w:cs="宋体"/>
      <w:color w:val="000000"/>
      <w:sz w:val="20"/>
      <w:szCs w:val="20"/>
      <w:u w:val="none"/>
      <w:vertAlign w:val="superscript"/>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6436</Words>
  <Characters>6641</Characters>
  <Lines>0</Lines>
  <Paragraphs>0</Paragraphs>
  <TotalTime>13</TotalTime>
  <ScaleCrop>false</ScaleCrop>
  <LinksUpToDate>false</LinksUpToDate>
  <CharactersWithSpaces>6693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柚</cp:lastModifiedBy>
  <cp:lastPrinted>2024-01-02T09:12:00Z</cp:lastPrinted>
  <dcterms:modified xsi:type="dcterms:W3CDTF">2026-09-09T07:57:46Z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4B289A792DF1434C85324BA493B0BACE_13</vt:lpwstr>
  </property>
  <property fmtid="{D5CDD505-2E9C-101B-9397-08002B2CF9AE}" pid="4" name="KSOTemplateDocerSaveRecord">
    <vt:lpwstr>eyJoZGlkIjoiNzdkNTM4MTkwYTE0Yjk0Y2Y4MjVlZDcwOGViZTQwYjIiLCJ1c2VySWQiOiIxMTc2NDE1MTk0In0=</vt:lpwstr>
  </property>
</Properties>
</file>