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项目名称：医学影像科定制家具</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项目编号：BSRMYY-YNCG-2024-07008</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4"/>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zh-CN" w:eastAsia="zh-CN"/>
        </w:rPr>
        <w:t>1.</w:t>
      </w:r>
      <w:r>
        <w:rPr>
          <w:rFonts w:hint="eastAsia" w:ascii="仿宋_GB2312" w:eastAsia="仿宋_GB2312" w:cs="宋体"/>
          <w:color w:val="auto"/>
          <w:sz w:val="32"/>
          <w:szCs w:val="32"/>
          <w:lang w:val="en-US" w:eastAsia="zh-CN"/>
        </w:rPr>
        <w:t>营业执照复印或扫描件（须圈出符合资质要求的经营范围和有效期，如医疗器械徐提供医疗器械销售资质）</w:t>
      </w:r>
      <w:r>
        <w:rPr>
          <w:rFonts w:hint="eastAsia" w:ascii="仿宋_GB2312" w:eastAsia="仿宋_GB2312" w:cs="宋体"/>
          <w:color w:val="auto"/>
          <w:sz w:val="32"/>
          <w:szCs w:val="32"/>
          <w:lang w:val="zh-CN" w:eastAsia="zh-CN"/>
        </w:rPr>
        <w:t>。</w:t>
      </w:r>
    </w:p>
    <w:p w14:paraId="690463A4">
      <w:pPr>
        <w:pStyle w:val="4"/>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en-US" w:eastAsia="zh-CN"/>
        </w:rPr>
        <w:t>2</w:t>
      </w:r>
      <w:r>
        <w:rPr>
          <w:rFonts w:hint="eastAsia" w:ascii="仿宋_GB2312" w:eastAsia="仿宋_GB2312" w:cs="宋体"/>
          <w:color w:val="auto"/>
          <w:sz w:val="32"/>
          <w:szCs w:val="32"/>
          <w:lang w:val="zh-CN" w:eastAsia="zh-CN"/>
        </w:rPr>
        <w:t>.</w:t>
      </w:r>
      <w:r>
        <w:rPr>
          <w:rFonts w:hint="eastAsia" w:ascii="仿宋_GB2312" w:eastAsia="仿宋_GB2312" w:cs="宋体"/>
          <w:color w:val="auto"/>
          <w:sz w:val="32"/>
          <w:szCs w:val="32"/>
          <w:lang w:val="en-US" w:eastAsia="zh-CN"/>
        </w:rPr>
        <w:t>项目情况介绍</w:t>
      </w:r>
      <w:r>
        <w:rPr>
          <w:rFonts w:hint="eastAsia" w:ascii="仿宋_GB2312" w:eastAsia="仿宋_GB2312" w:cs="宋体"/>
          <w:color w:val="auto"/>
          <w:sz w:val="32"/>
          <w:szCs w:val="32"/>
          <w:lang w:val="zh-CN" w:eastAsia="zh-CN"/>
        </w:rPr>
        <w:t>。</w:t>
      </w:r>
    </w:p>
    <w:p w14:paraId="2F2C23A5">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3.报价表</w:t>
      </w:r>
    </w:p>
    <w:p w14:paraId="43C523E5">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4.法人身份证明。</w:t>
      </w:r>
    </w:p>
    <w:p w14:paraId="61CD0941">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5.法人授权委托书。</w:t>
      </w:r>
    </w:p>
    <w:p w14:paraId="59F376B4">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14:paraId="03C33BB9">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7.其他可以证明投标人有能力完成本项目的佐证材料（如供应商及生产厂家资料等）。</w:t>
      </w:r>
    </w:p>
    <w:p w14:paraId="5C345A40">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8.投标产品相关资料（合格证、产品参数性能彩页、检验检测报告、如医疗器械需提供医疗器械注册证或备案证等）。</w:t>
      </w:r>
    </w:p>
    <w:p w14:paraId="290FB1CA">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9.质保及售后服务承诺。</w:t>
      </w:r>
    </w:p>
    <w:p w14:paraId="2DB1FCFB">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10.质保期后易损配件报价。</w:t>
      </w:r>
    </w:p>
    <w:p w14:paraId="510F0D4B">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投标廉政承诺。</w:t>
      </w:r>
    </w:p>
    <w:p w14:paraId="6BB1226A">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12.密封档案袋格式要求。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404B8424">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一、公司营业执照（须圈出符合资质要求的经营范围和有效期）</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00" w:firstLineChars="200"/>
        <w:jc w:val="both"/>
        <w:textAlignment w:val="auto"/>
        <w:outlineLvl w:val="9"/>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二、项目基本情况            </w:t>
      </w:r>
      <w:r>
        <w:rPr>
          <w:rFonts w:hint="eastAsia" w:ascii="仿宋" w:hAnsi="仿宋" w:eastAsia="仿宋" w:cs="仿宋"/>
          <w:b/>
          <w:bCs/>
          <w:color w:val="auto"/>
          <w:sz w:val="36"/>
          <w:szCs w:val="24"/>
          <w:lang w:val="en-US" w:eastAsia="zh-CN"/>
        </w:rPr>
        <w:t xml:space="preserve">     </w:t>
      </w:r>
    </w:p>
    <w:p w14:paraId="7861E80C">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71"/>
        <w:gridCol w:w="4875"/>
        <w:gridCol w:w="1010"/>
        <w:gridCol w:w="5"/>
        <w:gridCol w:w="474"/>
        <w:gridCol w:w="980"/>
        <w:gridCol w:w="1612"/>
      </w:tblGrid>
      <w:tr w14:paraId="2C87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8"/>
            <w:tcBorders>
              <w:top w:val="single" w:color="auto" w:sz="4" w:space="0"/>
              <w:left w:val="single" w:color="auto" w:sz="4" w:space="0"/>
            </w:tcBorders>
            <w:vAlign w:val="center"/>
          </w:tcPr>
          <w:p w14:paraId="7D9440B1">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采购人需求</w:t>
            </w:r>
          </w:p>
        </w:tc>
      </w:tr>
      <w:tr w14:paraId="61D9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8"/>
            <w:tcBorders>
              <w:top w:val="single" w:color="auto" w:sz="4" w:space="0"/>
              <w:left w:val="single" w:color="auto" w:sz="4" w:space="0"/>
            </w:tcBorders>
            <w:vAlign w:val="center"/>
          </w:tcPr>
          <w:p w14:paraId="79907C75">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14:paraId="69FC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14:paraId="492B2191">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971" w:type="dxa"/>
            <w:tcBorders>
              <w:top w:val="single" w:color="auto" w:sz="4" w:space="0"/>
              <w:left w:val="single" w:color="auto" w:sz="4" w:space="0"/>
              <w:right w:val="single" w:color="auto" w:sz="4" w:space="0"/>
            </w:tcBorders>
            <w:vAlign w:val="center"/>
          </w:tcPr>
          <w:p w14:paraId="4E9DC8F3">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w:t>
            </w:r>
            <w:r>
              <w:rPr>
                <w:rFonts w:hint="eastAsia" w:ascii="Times New Roman" w:hAnsi="Times New Roman" w:eastAsia="仿宋" w:cs="Times New Roman"/>
                <w:b/>
                <w:kern w:val="0"/>
                <w:sz w:val="24"/>
                <w:szCs w:val="24"/>
                <w:lang w:val="en-US" w:eastAsia="zh-CN"/>
              </w:rPr>
              <w:t>名称</w:t>
            </w:r>
          </w:p>
        </w:tc>
        <w:tc>
          <w:tcPr>
            <w:tcW w:w="4875" w:type="dxa"/>
            <w:vAlign w:val="center"/>
          </w:tcPr>
          <w:p w14:paraId="2EFEF45C">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10" w:type="dxa"/>
            <w:vAlign w:val="center"/>
          </w:tcPr>
          <w:p w14:paraId="740E7BC0">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规格</w:t>
            </w:r>
          </w:p>
        </w:tc>
        <w:tc>
          <w:tcPr>
            <w:tcW w:w="479" w:type="dxa"/>
            <w:gridSpan w:val="2"/>
            <w:vAlign w:val="center"/>
          </w:tcPr>
          <w:p w14:paraId="0C7BE3BE">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数量</w:t>
            </w:r>
          </w:p>
        </w:tc>
        <w:tc>
          <w:tcPr>
            <w:tcW w:w="980" w:type="dxa"/>
            <w:vAlign w:val="center"/>
          </w:tcPr>
          <w:p w14:paraId="6EA7F1D2">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612" w:type="dxa"/>
            <w:vAlign w:val="center"/>
          </w:tcPr>
          <w:p w14:paraId="062DA5CC">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备注</w:t>
            </w:r>
          </w:p>
        </w:tc>
      </w:tr>
      <w:tr w14:paraId="424C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64EB11FE">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971" w:type="dxa"/>
            <w:tcBorders>
              <w:top w:val="single" w:color="auto" w:sz="4" w:space="0"/>
              <w:left w:val="single" w:color="auto" w:sz="4" w:space="0"/>
              <w:bottom w:val="single" w:color="auto" w:sz="4" w:space="0"/>
              <w:right w:val="single" w:color="auto" w:sz="4" w:space="0"/>
            </w:tcBorders>
            <w:vAlign w:val="center"/>
          </w:tcPr>
          <w:p w14:paraId="6A02AB8C">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会议桌</w:t>
            </w:r>
          </w:p>
        </w:tc>
        <w:tc>
          <w:tcPr>
            <w:tcW w:w="4875" w:type="dxa"/>
            <w:vAlign w:val="center"/>
          </w:tcPr>
          <w:p w14:paraId="7F5303BA">
            <w:pPr>
              <w:keepNext w:val="0"/>
              <w:keepLines w:val="0"/>
              <w:widowControl/>
              <w:suppressLineNumbers w:val="0"/>
              <w:jc w:val="left"/>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1、基材采用E1级环保实木颗粒板，表面由环保树脂保护工艺层打造，具有抗划伤、防火耐高温、耐磨损、零渗透易清洁等特点。会议桌采用双层设计，中间带储物空间。圆角桌面工艺，避免磕碰。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2、封边：成都“硕泰”牌或同等价位品牌2MM厚PVC全自动机械热熔封边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3、五金：广东东泰或同等价位品牌五金配件，美观经久耐用。</w:t>
            </w:r>
          </w:p>
        </w:tc>
        <w:tc>
          <w:tcPr>
            <w:tcW w:w="1010" w:type="dxa"/>
            <w:vAlign w:val="center"/>
          </w:tcPr>
          <w:p w14:paraId="53B6D9FA">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4000*1600*750mm</w:t>
            </w:r>
          </w:p>
        </w:tc>
        <w:tc>
          <w:tcPr>
            <w:tcW w:w="479" w:type="dxa"/>
            <w:gridSpan w:val="2"/>
            <w:vAlign w:val="center"/>
          </w:tcPr>
          <w:p w14:paraId="10CB0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1张</w:t>
            </w:r>
          </w:p>
        </w:tc>
        <w:tc>
          <w:tcPr>
            <w:tcW w:w="980" w:type="dxa"/>
            <w:vAlign w:val="center"/>
          </w:tcPr>
          <w:p w14:paraId="00770741">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4400</w:t>
            </w:r>
          </w:p>
        </w:tc>
        <w:tc>
          <w:tcPr>
            <w:tcW w:w="1612" w:type="dxa"/>
            <w:vAlign w:val="center"/>
          </w:tcPr>
          <w:p w14:paraId="139CE510">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194945</wp:posOffset>
                  </wp:positionV>
                  <wp:extent cx="1052195" cy="640715"/>
                  <wp:effectExtent l="0" t="0" r="14605" b="6985"/>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4"/>
                          <a:stretch>
                            <a:fillRect/>
                          </a:stretch>
                        </pic:blipFill>
                        <pic:spPr>
                          <a:xfrm>
                            <a:off x="0" y="0"/>
                            <a:ext cx="1052195" cy="640715"/>
                          </a:xfrm>
                          <a:prstGeom prst="rect">
                            <a:avLst/>
                          </a:prstGeom>
                          <a:noFill/>
                          <a:ln>
                            <a:noFill/>
                          </a:ln>
                        </pic:spPr>
                      </pic:pic>
                    </a:graphicData>
                  </a:graphic>
                </wp:anchor>
              </w:drawing>
            </w:r>
          </w:p>
        </w:tc>
      </w:tr>
      <w:tr w14:paraId="6244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29F35BF8">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971" w:type="dxa"/>
            <w:tcBorders>
              <w:top w:val="single" w:color="auto" w:sz="4" w:space="0"/>
              <w:left w:val="single" w:color="auto" w:sz="4" w:space="0"/>
              <w:bottom w:val="single" w:color="auto" w:sz="4" w:space="0"/>
              <w:right w:val="single" w:color="auto" w:sz="4" w:space="0"/>
            </w:tcBorders>
            <w:vAlign w:val="center"/>
          </w:tcPr>
          <w:p w14:paraId="5054B58E">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会议椅</w:t>
            </w:r>
          </w:p>
        </w:tc>
        <w:tc>
          <w:tcPr>
            <w:tcW w:w="4875" w:type="dxa"/>
            <w:vAlign w:val="center"/>
          </w:tcPr>
          <w:p w14:paraId="51E44318">
            <w:pPr>
              <w:keepNext w:val="0"/>
              <w:keepLines w:val="0"/>
              <w:widowControl/>
              <w:suppressLineNumbers w:val="0"/>
              <w:jc w:val="left"/>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1、靠背/座板：椅背椅座采用同一种优质双层网布，具有较强的延伸性和弹性，透气性好，手感好，结实，座内衬优质高密度高弹性聚氨酯定型海绵，久座舒适。黑色。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2、椅脚架采用直径28mm，厚2.5mm经CNC一次弯制而成,表面黑色环保处理，稳固。</w:t>
            </w:r>
          </w:p>
        </w:tc>
        <w:tc>
          <w:tcPr>
            <w:tcW w:w="1010" w:type="dxa"/>
            <w:vAlign w:val="center"/>
          </w:tcPr>
          <w:p w14:paraId="56ABE73D">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常规</w:t>
            </w:r>
          </w:p>
        </w:tc>
        <w:tc>
          <w:tcPr>
            <w:tcW w:w="479" w:type="dxa"/>
            <w:gridSpan w:val="2"/>
            <w:vAlign w:val="center"/>
          </w:tcPr>
          <w:p w14:paraId="11AC2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14张</w:t>
            </w:r>
          </w:p>
        </w:tc>
        <w:tc>
          <w:tcPr>
            <w:tcW w:w="980" w:type="dxa"/>
            <w:vAlign w:val="center"/>
          </w:tcPr>
          <w:p w14:paraId="110D8B42">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1612" w:type="dxa"/>
            <w:vAlign w:val="center"/>
          </w:tcPr>
          <w:p w14:paraId="16CC9DC0">
            <w:pPr>
              <w:keepNext w:val="0"/>
              <w:keepLines w:val="0"/>
              <w:widowControl/>
              <w:suppressLineNumbers w:val="0"/>
              <w:jc w:val="center"/>
              <w:textAlignment w:val="center"/>
              <w:rPr>
                <w:rFonts w:hint="default" w:eastAsiaTheme="minorEastAsia"/>
                <w:sz w:val="32"/>
                <w:szCs w:val="32"/>
                <w:lang w:val="en-US" w:eastAsia="zh-CN"/>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wp:posOffset>
                  </wp:positionH>
                  <wp:positionV relativeFrom="paragraph">
                    <wp:posOffset>66040</wp:posOffset>
                  </wp:positionV>
                  <wp:extent cx="836930" cy="927735"/>
                  <wp:effectExtent l="0" t="0" r="1270" b="5715"/>
                  <wp:wrapNone/>
                  <wp:docPr id="9" name="图片_2"/>
                  <wp:cNvGraphicFramePr/>
                  <a:graphic xmlns:a="http://schemas.openxmlformats.org/drawingml/2006/main">
                    <a:graphicData uri="http://schemas.openxmlformats.org/drawingml/2006/picture">
                      <pic:pic xmlns:pic="http://schemas.openxmlformats.org/drawingml/2006/picture">
                        <pic:nvPicPr>
                          <pic:cNvPr id="9" name="图片_2"/>
                          <pic:cNvPicPr/>
                        </pic:nvPicPr>
                        <pic:blipFill>
                          <a:blip r:embed="rId5"/>
                          <a:stretch>
                            <a:fillRect/>
                          </a:stretch>
                        </pic:blipFill>
                        <pic:spPr>
                          <a:xfrm>
                            <a:off x="0" y="0"/>
                            <a:ext cx="836930" cy="927735"/>
                          </a:xfrm>
                          <a:prstGeom prst="rect">
                            <a:avLst/>
                          </a:prstGeom>
                          <a:noFill/>
                          <a:ln>
                            <a:noFill/>
                          </a:ln>
                        </pic:spPr>
                      </pic:pic>
                    </a:graphicData>
                  </a:graphic>
                </wp:anchor>
              </w:drawing>
            </w:r>
          </w:p>
        </w:tc>
      </w:tr>
      <w:tr w14:paraId="6646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08577144">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971" w:type="dxa"/>
            <w:tcBorders>
              <w:top w:val="single" w:color="auto" w:sz="4" w:space="0"/>
              <w:left w:val="single" w:color="auto" w:sz="4" w:space="0"/>
              <w:bottom w:val="single" w:color="auto" w:sz="4" w:space="0"/>
              <w:right w:val="single" w:color="auto" w:sz="4" w:space="0"/>
            </w:tcBorders>
            <w:vAlign w:val="center"/>
          </w:tcPr>
          <w:p w14:paraId="59FA1CD6">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培训椅</w:t>
            </w:r>
          </w:p>
        </w:tc>
        <w:tc>
          <w:tcPr>
            <w:tcW w:w="4875" w:type="dxa"/>
            <w:vAlign w:val="center"/>
          </w:tcPr>
          <w:p w14:paraId="70134168">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1、靠背/座板：椅背椅座采用优质双层网布，具有较强的延伸性和弹性，透气性好，手感好，结实，座内衬优质高密度高回弹海绵，久座舒适。黑色。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2、框架及扶手面都采用优质的原生PP材质一体注塑，稳固耐用。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3、钢制支撑杆，加固铝合金旋转底托和增强PP打造的多功能写字板，承重力强，结实稳固支撑耐用不变形，伸缩杯架，笔槽设计。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4、加厚1.2mm钢制椅架，稳定三点支撑，承重力强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5、可折叠，方便收纳。</w:t>
            </w:r>
          </w:p>
        </w:tc>
        <w:tc>
          <w:tcPr>
            <w:tcW w:w="1010" w:type="dxa"/>
            <w:vAlign w:val="center"/>
          </w:tcPr>
          <w:p w14:paraId="6BADB11B">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常规</w:t>
            </w:r>
          </w:p>
        </w:tc>
        <w:tc>
          <w:tcPr>
            <w:tcW w:w="479" w:type="dxa"/>
            <w:gridSpan w:val="2"/>
            <w:vAlign w:val="center"/>
          </w:tcPr>
          <w:p w14:paraId="2BEAE5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40张</w:t>
            </w:r>
          </w:p>
        </w:tc>
        <w:tc>
          <w:tcPr>
            <w:tcW w:w="980" w:type="dxa"/>
            <w:vAlign w:val="center"/>
          </w:tcPr>
          <w:p w14:paraId="57394A9D">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1612" w:type="dxa"/>
            <w:vAlign w:val="center"/>
          </w:tcPr>
          <w:p w14:paraId="55CE5C1B">
            <w:pPr>
              <w:keepNext w:val="0"/>
              <w:keepLines w:val="0"/>
              <w:widowControl/>
              <w:suppressLineNumbers w:val="0"/>
              <w:jc w:val="center"/>
              <w:textAlignment w:val="center"/>
              <w:rPr>
                <w:rFonts w:hint="default"/>
                <w:sz w:val="32"/>
                <w:szCs w:val="32"/>
                <w:lang w:val="en-US"/>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115570</wp:posOffset>
                  </wp:positionH>
                  <wp:positionV relativeFrom="paragraph">
                    <wp:posOffset>109220</wp:posOffset>
                  </wp:positionV>
                  <wp:extent cx="768985" cy="956310"/>
                  <wp:effectExtent l="0" t="0" r="12065" b="15240"/>
                  <wp:wrapNone/>
                  <wp:docPr id="10" name="图片_1_SpCnt_1"/>
                  <wp:cNvGraphicFramePr/>
                  <a:graphic xmlns:a="http://schemas.openxmlformats.org/drawingml/2006/main">
                    <a:graphicData uri="http://schemas.openxmlformats.org/drawingml/2006/picture">
                      <pic:pic xmlns:pic="http://schemas.openxmlformats.org/drawingml/2006/picture">
                        <pic:nvPicPr>
                          <pic:cNvPr id="10" name="图片_1_SpCnt_1"/>
                          <pic:cNvPicPr/>
                        </pic:nvPicPr>
                        <pic:blipFill>
                          <a:blip r:embed="rId6"/>
                          <a:stretch>
                            <a:fillRect/>
                          </a:stretch>
                        </pic:blipFill>
                        <pic:spPr>
                          <a:xfrm>
                            <a:off x="0" y="0"/>
                            <a:ext cx="768985" cy="956310"/>
                          </a:xfrm>
                          <a:prstGeom prst="rect">
                            <a:avLst/>
                          </a:prstGeom>
                          <a:noFill/>
                          <a:ln>
                            <a:noFill/>
                          </a:ln>
                        </pic:spPr>
                      </pic:pic>
                    </a:graphicData>
                  </a:graphic>
                </wp:anchor>
              </w:drawing>
            </w:r>
          </w:p>
        </w:tc>
      </w:tr>
      <w:tr w14:paraId="5EB9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3067FDE6">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971" w:type="dxa"/>
            <w:tcBorders>
              <w:top w:val="single" w:color="auto" w:sz="4" w:space="0"/>
              <w:left w:val="single" w:color="auto" w:sz="4" w:space="0"/>
              <w:bottom w:val="single" w:color="auto" w:sz="4" w:space="0"/>
              <w:right w:val="single" w:color="auto" w:sz="4" w:space="0"/>
            </w:tcBorders>
            <w:vAlign w:val="center"/>
          </w:tcPr>
          <w:p w14:paraId="489ABEC6">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办公桌</w:t>
            </w:r>
          </w:p>
        </w:tc>
        <w:tc>
          <w:tcPr>
            <w:tcW w:w="4875" w:type="dxa"/>
            <w:tcBorders>
              <w:bottom w:val="single" w:color="auto" w:sz="4" w:space="0"/>
            </w:tcBorders>
            <w:vAlign w:val="center"/>
          </w:tcPr>
          <w:p w14:paraId="66FA7F49">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1、基材：成都“加莱宝”牌或同等价位品牌E1级MFC防火板台面，表面三聚氢胺浸渍处理，具有抗划伤、耐高温、耐磨损、耐冲击度等特点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2、封边：成都“硕泰”牌或同等价位品牌2MM厚PVC全自动机械热压封边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3、五金：广东东泰或同等价位品牌五金配件，美观经久耐用。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4、加厚钢制桌架。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5、配活动柜、主机架、键盘架。</w:t>
            </w:r>
          </w:p>
        </w:tc>
        <w:tc>
          <w:tcPr>
            <w:tcW w:w="1010" w:type="dxa"/>
            <w:tcBorders>
              <w:bottom w:val="single" w:color="auto" w:sz="4" w:space="0"/>
            </w:tcBorders>
            <w:vAlign w:val="center"/>
          </w:tcPr>
          <w:p w14:paraId="70BE852A">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1400*600*750mm</w:t>
            </w:r>
          </w:p>
        </w:tc>
        <w:tc>
          <w:tcPr>
            <w:tcW w:w="479" w:type="dxa"/>
            <w:gridSpan w:val="2"/>
            <w:tcBorders>
              <w:bottom w:val="single" w:color="auto" w:sz="4" w:space="0"/>
            </w:tcBorders>
            <w:vAlign w:val="center"/>
          </w:tcPr>
          <w:p w14:paraId="29ADF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36张</w:t>
            </w:r>
          </w:p>
        </w:tc>
        <w:tc>
          <w:tcPr>
            <w:tcW w:w="980" w:type="dxa"/>
            <w:tcBorders>
              <w:bottom w:val="single" w:color="auto" w:sz="4" w:space="0"/>
            </w:tcBorders>
            <w:vAlign w:val="center"/>
          </w:tcPr>
          <w:p w14:paraId="3455EAF0">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680</w:t>
            </w:r>
          </w:p>
        </w:tc>
        <w:tc>
          <w:tcPr>
            <w:tcW w:w="1612" w:type="dxa"/>
            <w:vAlign w:val="center"/>
          </w:tcPr>
          <w:p w14:paraId="6BD34332">
            <w:pPr>
              <w:keepNext w:val="0"/>
              <w:keepLines w:val="0"/>
              <w:widowControl/>
              <w:suppressLineNumbers w:val="0"/>
              <w:jc w:val="center"/>
              <w:textAlignment w:val="center"/>
              <w:rPr>
                <w:rFonts w:hint="eastAsia"/>
                <w:sz w:val="32"/>
                <w:szCs w:val="32"/>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7620</wp:posOffset>
                  </wp:positionH>
                  <wp:positionV relativeFrom="paragraph">
                    <wp:posOffset>151130</wp:posOffset>
                  </wp:positionV>
                  <wp:extent cx="900430" cy="1002665"/>
                  <wp:effectExtent l="0" t="0" r="13970" b="6985"/>
                  <wp:wrapNone/>
                  <wp:docPr id="11" name="图片_4"/>
                  <wp:cNvGraphicFramePr/>
                  <a:graphic xmlns:a="http://schemas.openxmlformats.org/drawingml/2006/main">
                    <a:graphicData uri="http://schemas.openxmlformats.org/drawingml/2006/picture">
                      <pic:pic xmlns:pic="http://schemas.openxmlformats.org/drawingml/2006/picture">
                        <pic:nvPicPr>
                          <pic:cNvPr id="11" name="图片_4"/>
                          <pic:cNvPicPr/>
                        </pic:nvPicPr>
                        <pic:blipFill>
                          <a:blip r:embed="rId7"/>
                          <a:stretch>
                            <a:fillRect/>
                          </a:stretch>
                        </pic:blipFill>
                        <pic:spPr>
                          <a:xfrm>
                            <a:off x="0" y="0"/>
                            <a:ext cx="900430" cy="1002665"/>
                          </a:xfrm>
                          <a:prstGeom prst="rect">
                            <a:avLst/>
                          </a:prstGeom>
                          <a:noFill/>
                          <a:ln>
                            <a:noFill/>
                          </a:ln>
                        </pic:spPr>
                      </pic:pic>
                    </a:graphicData>
                  </a:graphic>
                </wp:anchor>
              </w:drawing>
            </w:r>
          </w:p>
        </w:tc>
      </w:tr>
      <w:tr w14:paraId="4D97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03F91214">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971" w:type="dxa"/>
            <w:tcBorders>
              <w:top w:val="single" w:color="auto" w:sz="4" w:space="0"/>
              <w:left w:val="single" w:color="auto" w:sz="4" w:space="0"/>
              <w:bottom w:val="single" w:color="auto" w:sz="4" w:space="0"/>
              <w:right w:val="single" w:color="auto" w:sz="4" w:space="0"/>
            </w:tcBorders>
            <w:vAlign w:val="center"/>
          </w:tcPr>
          <w:p w14:paraId="5E00E614">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演讲台</w:t>
            </w:r>
          </w:p>
        </w:tc>
        <w:tc>
          <w:tcPr>
            <w:tcW w:w="4875" w:type="dxa"/>
            <w:tcBorders>
              <w:top w:val="single" w:color="auto" w:sz="4" w:space="0"/>
              <w:bottom w:val="single" w:color="auto" w:sz="4" w:space="0"/>
              <w:right w:val="single" w:color="auto" w:sz="4" w:space="0"/>
            </w:tcBorders>
            <w:vAlign w:val="center"/>
          </w:tcPr>
          <w:p w14:paraId="26AABDE1">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1.基材:采用E1级环保中密度纤维板，密度达700KG/M3以上,经过防虫、防腐等化学处理，持久不变形;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2.油漆:采用环保面漆，经五底四面油漆工艺处理，符合GB 18581-2020 木器涂料中有害物质限量，GB/T 23997-2009 室内装饰装修用溶剂型聚氨酯木器涂料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3.木工要求，漆膜外观要求，甲醛释放量小于1.5mg/L。</w:t>
            </w:r>
          </w:p>
        </w:tc>
        <w:tc>
          <w:tcPr>
            <w:tcW w:w="1010" w:type="dxa"/>
            <w:tcBorders>
              <w:top w:val="single" w:color="auto" w:sz="4" w:space="0"/>
              <w:left w:val="single" w:color="auto" w:sz="4" w:space="0"/>
              <w:bottom w:val="single" w:color="auto" w:sz="4" w:space="0"/>
              <w:right w:val="single" w:color="auto" w:sz="4" w:space="0"/>
            </w:tcBorders>
            <w:vAlign w:val="center"/>
          </w:tcPr>
          <w:p w14:paraId="5362D7D6">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700*570*1150mm</w:t>
            </w:r>
          </w:p>
        </w:tc>
        <w:tc>
          <w:tcPr>
            <w:tcW w:w="5" w:type="dxa"/>
            <w:tcBorders>
              <w:top w:val="single" w:color="auto" w:sz="4" w:space="0"/>
              <w:left w:val="single" w:color="auto" w:sz="4" w:space="0"/>
              <w:bottom w:val="single" w:color="auto" w:sz="4" w:space="0"/>
              <w:right w:val="single" w:color="auto" w:sz="4" w:space="0"/>
            </w:tcBorders>
            <w:vAlign w:val="center"/>
          </w:tcPr>
          <w:p w14:paraId="4019795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700*570*1150mm</w:t>
            </w:r>
          </w:p>
        </w:tc>
        <w:tc>
          <w:tcPr>
            <w:tcW w:w="474" w:type="dxa"/>
            <w:tcBorders>
              <w:top w:val="single" w:color="auto" w:sz="4" w:space="0"/>
              <w:left w:val="single" w:color="auto" w:sz="4" w:space="0"/>
              <w:bottom w:val="single" w:color="auto" w:sz="4" w:space="0"/>
              <w:right w:val="single" w:color="auto" w:sz="4" w:space="0"/>
            </w:tcBorders>
            <w:vAlign w:val="center"/>
          </w:tcPr>
          <w:p w14:paraId="5858A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1个</w:t>
            </w:r>
          </w:p>
        </w:tc>
        <w:tc>
          <w:tcPr>
            <w:tcW w:w="980" w:type="dxa"/>
            <w:tcBorders>
              <w:top w:val="single" w:color="auto" w:sz="4" w:space="0"/>
              <w:left w:val="single" w:color="auto" w:sz="4" w:space="0"/>
              <w:bottom w:val="single" w:color="auto" w:sz="4" w:space="0"/>
            </w:tcBorders>
            <w:vAlign w:val="center"/>
          </w:tcPr>
          <w:p w14:paraId="5CAF853B">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1150</w:t>
            </w:r>
          </w:p>
        </w:tc>
        <w:tc>
          <w:tcPr>
            <w:tcW w:w="1612" w:type="dxa"/>
            <w:vAlign w:val="center"/>
          </w:tcPr>
          <w:p w14:paraId="6BD58E9D">
            <w:pPr>
              <w:keepNext w:val="0"/>
              <w:keepLines w:val="0"/>
              <w:widowControl/>
              <w:suppressLineNumbers w:val="0"/>
              <w:jc w:val="center"/>
              <w:textAlignment w:val="center"/>
              <w:rPr>
                <w:rFonts w:hint="eastAsia"/>
                <w:sz w:val="32"/>
                <w:szCs w:val="32"/>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-1270</wp:posOffset>
                  </wp:positionH>
                  <wp:positionV relativeFrom="paragraph">
                    <wp:posOffset>112395</wp:posOffset>
                  </wp:positionV>
                  <wp:extent cx="859790" cy="1128395"/>
                  <wp:effectExtent l="0" t="0" r="16510" b="14605"/>
                  <wp:wrapNone/>
                  <wp:docPr id="12" name="图片_1_SpCnt_2"/>
                  <wp:cNvGraphicFramePr/>
                  <a:graphic xmlns:a="http://schemas.openxmlformats.org/drawingml/2006/main">
                    <a:graphicData uri="http://schemas.openxmlformats.org/drawingml/2006/picture">
                      <pic:pic xmlns:pic="http://schemas.openxmlformats.org/drawingml/2006/picture">
                        <pic:nvPicPr>
                          <pic:cNvPr id="12" name="图片_1_SpCnt_2"/>
                          <pic:cNvPicPr/>
                        </pic:nvPicPr>
                        <pic:blipFill>
                          <a:blip r:embed="rId8"/>
                          <a:stretch>
                            <a:fillRect/>
                          </a:stretch>
                        </pic:blipFill>
                        <pic:spPr>
                          <a:xfrm>
                            <a:off x="0" y="0"/>
                            <a:ext cx="859790" cy="1128395"/>
                          </a:xfrm>
                          <a:prstGeom prst="rect">
                            <a:avLst/>
                          </a:prstGeom>
                          <a:noFill/>
                          <a:ln>
                            <a:noFill/>
                          </a:ln>
                        </pic:spPr>
                      </pic:pic>
                    </a:graphicData>
                  </a:graphic>
                </wp:anchor>
              </w:drawing>
            </w:r>
          </w:p>
        </w:tc>
      </w:tr>
      <w:tr w14:paraId="1E4F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8"/>
            <w:tcBorders>
              <w:top w:val="single" w:color="auto" w:sz="4" w:space="0"/>
              <w:left w:val="single" w:color="auto" w:sz="4" w:space="0"/>
              <w:bottom w:val="single" w:color="auto" w:sz="4" w:space="0"/>
            </w:tcBorders>
            <w:vAlign w:val="center"/>
          </w:tcPr>
          <w:p w14:paraId="074812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（二）商务要求：（须完全响应）</w:t>
            </w:r>
          </w:p>
          <w:p w14:paraId="08CFED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1926B0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47350元。报价要求：本次报价为人民币包干价，包含：货款、运输装卸、安装维护费（原厂配件费）、资料装订及邮寄费、税费、保险费、验收检测费等完成本项目所需的一切费用。因成交供应商自身原因造成漏报、少报皆由其自行承担责任，采购人不再补偿。服务期间发生的安全责任事故由供应商自行承担。</w:t>
            </w:r>
          </w:p>
          <w:p w14:paraId="5527C4A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0E42D98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自合同签订之日起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2</w:t>
            </w:r>
            <w:r>
              <w:rPr>
                <w:rFonts w:hint="eastAsia" w:ascii="方正仿宋_GBK" w:hAnsi="方正仿宋_GBK" w:eastAsia="方正仿宋_GBK" w:cs="方正仿宋_GBK"/>
                <w:color w:val="auto"/>
                <w:sz w:val="32"/>
                <w:szCs w:val="32"/>
                <w:u w:val="single"/>
              </w:rPr>
              <w:t xml:space="preserve">0 </w:t>
            </w:r>
            <w:r>
              <w:rPr>
                <w:rFonts w:hint="eastAsia" w:ascii="方正仿宋_GBK" w:hAnsi="方正仿宋_GBK" w:eastAsia="方正仿宋_GBK" w:cs="方正仿宋_GBK"/>
                <w:color w:val="auto"/>
                <w:sz w:val="32"/>
                <w:szCs w:val="32"/>
              </w:rPr>
              <w:t>天。</w:t>
            </w:r>
          </w:p>
          <w:p w14:paraId="23EC574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3DF5F14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成交供应商在接到成交通知后10日内与采购人签订采购合同和廉政购销协议。</w:t>
            </w:r>
          </w:p>
          <w:p w14:paraId="243AFB7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7FCFA8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验收合格后一次性支付95%</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供应商承诺的质保期届满且维护的产品正常使用的支付剩余5%。付款时供应商须提交全额发票。</w:t>
            </w:r>
          </w:p>
          <w:p w14:paraId="460F1A2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700AC95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（1）在规定时间内完成交付，按照招投标文件要求进行验收。</w:t>
            </w:r>
          </w:p>
          <w:p w14:paraId="70B9A2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（2）验收产生争议时由采购人择优选择第三方有资质的机构进行检测，验收费用由供应商承担。</w:t>
            </w:r>
          </w:p>
          <w:p w14:paraId="2321B62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612583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（1）质保期不低于5年，产品有任何质量问题，供应商应30分钟提供电话响应，6小时内来院进行维护修理，未及时响应将承担违约责任。</w:t>
            </w:r>
          </w:p>
          <w:p w14:paraId="7ADACFE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（2）质保期届满后，供应商应免费提供电话咨询等服务，协助采购人处理故障。</w:t>
            </w:r>
          </w:p>
          <w:p w14:paraId="009865F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53E3D66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4D5B8E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5A4BF1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因不能按期交付，整改期限届满以及其他原因导致采购人解除合同，以及供应商明确表示终止合同，供应商需承担合同总金额30%的违约金，并承担对采购人造成的损失。</w:t>
            </w:r>
          </w:p>
          <w:p w14:paraId="7A796E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141AC5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322A009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61D1A19C">
            <w:pPr>
              <w:numPr>
                <w:ilvl w:val="0"/>
                <w:numId w:val="0"/>
              </w:numPr>
              <w:spacing w:line="500" w:lineRule="exact"/>
              <w:ind w:firstLine="64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条件：供应商未按照采购要求逐项提交佐证材料；供应商不能在规定时限内对响应材料进行说明或补充提交；供应商存在围标、串标等违法行为。</w:t>
            </w:r>
          </w:p>
        </w:tc>
      </w:tr>
      <w:tr w14:paraId="750E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8"/>
            <w:tcBorders>
              <w:top w:val="single" w:color="000000" w:sz="6" w:space="0"/>
              <w:left w:val="single" w:color="000000" w:sz="6" w:space="0"/>
              <w:bottom w:val="single" w:color="000000" w:sz="6" w:space="0"/>
            </w:tcBorders>
            <w:tcMar>
              <w:top w:w="30" w:type="dxa"/>
              <w:left w:w="45" w:type="dxa"/>
              <w:bottom w:w="30" w:type="dxa"/>
              <w:right w:w="45" w:type="dxa"/>
            </w:tcMar>
            <w:vAlign w:val="center"/>
          </w:tcPr>
          <w:p w14:paraId="2D92DD69">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供应商承诺</w:t>
            </w:r>
          </w:p>
        </w:tc>
      </w:tr>
      <w:tr w14:paraId="1870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8"/>
            <w:tcBorders>
              <w:top w:val="single" w:color="000000" w:sz="6" w:space="0"/>
              <w:left w:val="single" w:color="000000" w:sz="6" w:space="0"/>
              <w:bottom w:val="single" w:color="000000" w:sz="6" w:space="0"/>
            </w:tcBorders>
            <w:tcMar>
              <w:top w:w="30" w:type="dxa"/>
              <w:left w:w="45" w:type="dxa"/>
              <w:bottom w:w="30" w:type="dxa"/>
              <w:right w:w="45" w:type="dxa"/>
            </w:tcMar>
            <w:vAlign w:val="center"/>
          </w:tcPr>
          <w:p w14:paraId="00931A46">
            <w:pPr>
              <w:widowControl/>
              <w:spacing w:line="360" w:lineRule="auto"/>
              <w:ind w:firstLine="643" w:firstLineChars="200"/>
              <w:jc w:val="left"/>
              <w:rPr>
                <w:rFonts w:hint="eastAsia" w:ascii="仿宋" w:hAnsi="仿宋" w:eastAsia="仿宋" w:cs="仿宋"/>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是否</w:t>
            </w:r>
            <w:r>
              <w:rPr>
                <w:rFonts w:hint="eastAsia" w:ascii="仿宋" w:hAnsi="仿宋" w:eastAsia="仿宋" w:cs="仿宋"/>
                <w:b/>
                <w:bCs/>
                <w:i w:val="0"/>
                <w:caps w:val="0"/>
                <w:color w:val="555555"/>
                <w:spacing w:val="0"/>
                <w:kern w:val="0"/>
                <w:sz w:val="32"/>
                <w:szCs w:val="32"/>
                <w:lang w:val="en-US" w:eastAsia="zh-CN" w:bidi="ar"/>
              </w:rPr>
              <w:t>完全响应采购人技术参数和商务要求？</w:t>
            </w:r>
          </w:p>
          <w:p w14:paraId="3E49010D">
            <w:pPr>
              <w:pStyle w:val="2"/>
              <w:numPr>
                <w:numId w:val="0"/>
              </w:numPr>
              <w:tabs>
                <w:tab w:val="clear" w:pos="3600"/>
              </w:tabs>
              <w:ind w:left="2880" w:leftChars="0"/>
              <w:jc w:val="right"/>
              <w:rPr>
                <w:rFonts w:hint="default"/>
                <w:lang w:val="en-US" w:eastAsia="zh-CN"/>
              </w:rPr>
            </w:pPr>
            <w:r>
              <w:rPr>
                <w:rFonts w:hint="eastAsia" w:ascii="仿宋" w:hAnsi="仿宋" w:eastAsia="仿宋" w:cs="仿宋"/>
                <w:b/>
                <w:bCs/>
                <w:i w:val="0"/>
                <w:caps w:val="0"/>
                <w:color w:val="555555"/>
                <w:spacing w:val="0"/>
                <w:kern w:val="0"/>
                <w:sz w:val="32"/>
                <w:szCs w:val="32"/>
                <w:lang w:val="en-US" w:eastAsia="zh-CN" w:bidi="ar"/>
              </w:rPr>
              <w:t>供应商名称（盖章）</w:t>
            </w:r>
          </w:p>
          <w:p w14:paraId="59374F23">
            <w:pPr>
              <w:jc w:val="right"/>
              <w:rPr>
                <w:rFonts w:hint="default"/>
                <w:lang w:val="en-US" w:eastAsia="zh-CN"/>
              </w:rPr>
            </w:pPr>
            <w:r>
              <w:rPr>
                <w:rFonts w:hint="eastAsia" w:ascii="仿宋" w:hAnsi="仿宋" w:eastAsia="仿宋" w:cs="仿宋"/>
                <w:b/>
                <w:bCs/>
                <w:i w:val="0"/>
                <w:caps w:val="0"/>
                <w:color w:val="555555"/>
                <w:spacing w:val="0"/>
                <w:kern w:val="0"/>
                <w:sz w:val="32"/>
                <w:szCs w:val="32"/>
                <w:lang w:val="en-US" w:eastAsia="zh-CN" w:bidi="ar"/>
              </w:rPr>
              <w:t>日期</w:t>
            </w:r>
          </w:p>
        </w:tc>
      </w:tr>
    </w:tbl>
    <w:p w14:paraId="20107AC4">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14:paraId="4F53372E">
      <w:pPr>
        <w:numPr>
          <w:numId w:val="0"/>
        </w:num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三、报价表</w:t>
      </w:r>
    </w:p>
    <w:p w14:paraId="191ED7A7">
      <w:pPr>
        <w:pStyle w:val="8"/>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8"/>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8"/>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r>
        <w:rPr>
          <w:rFonts w:hint="eastAsia" w:ascii="方正仿宋_GBK" w:hAnsi="方正仿宋_GBK" w:eastAsia="方正仿宋_GBK" w:cs="方正仿宋_GBK"/>
          <w:sz w:val="32"/>
          <w:szCs w:val="32"/>
          <w:u w:val="single"/>
          <w:lang w:val="en-US" w:eastAsia="zh-CN"/>
        </w:rPr>
        <w:t>（请对每个产品单独报价，附分项报价清单）</w:t>
      </w:r>
      <w:bookmarkStart w:id="29" w:name="_GoBack"/>
      <w:bookmarkEnd w:id="29"/>
    </w:p>
    <w:p w14:paraId="3785074E">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8"/>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13266A40">
      <w:pPr>
        <w:pStyle w:val="8"/>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3E9CB5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四、法定代表人身份证明书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B5B2F6E">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F4D0EF">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14:paraId="4CB54495">
      <w:pPr>
        <w:adjustRightInd w:val="0"/>
        <w:snapToGrid w:val="0"/>
        <w:spacing w:line="360" w:lineRule="auto"/>
        <w:ind w:firstLine="700" w:firstLineChars="250"/>
        <w:rPr>
          <w:rFonts w:ascii="仿宋_GB2312" w:eastAsia="仿宋_GB2312"/>
          <w:color w:val="auto"/>
          <w:sz w:val="28"/>
          <w:szCs w:val="28"/>
        </w:rPr>
      </w:pPr>
      <w:bookmarkStart w:id="0" w:name="_Toc166549448"/>
      <w:bookmarkStart w:id="1" w:name="_Toc156730450"/>
      <w:bookmarkStart w:id="2" w:name="_Toc128229745"/>
      <w:bookmarkStart w:id="3" w:name="_Toc128229916"/>
      <w:bookmarkStart w:id="4" w:name="_Toc156815770"/>
      <w:bookmarkStart w:id="5" w:name="_Toc156196470"/>
      <w:bookmarkStart w:id="6" w:name="_Toc173677397"/>
      <w:bookmarkStart w:id="7" w:name="_Toc128229302"/>
      <w:bookmarkStart w:id="8" w:name="_Toc175017342"/>
      <w:bookmarkStart w:id="9" w:name="_Toc166139912"/>
      <w:bookmarkStart w:id="10" w:name="_Toc156196559"/>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14:paraId="4DABED30">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66139913"/>
      <w:bookmarkStart w:id="12" w:name="_Toc173677398"/>
      <w:bookmarkStart w:id="13" w:name="_Toc156196471"/>
      <w:bookmarkStart w:id="14" w:name="_Toc156730451"/>
      <w:bookmarkStart w:id="15" w:name="_Toc175017343"/>
      <w:bookmarkStart w:id="16" w:name="_Toc128229303"/>
      <w:bookmarkStart w:id="17" w:name="_Toc128229917"/>
      <w:bookmarkStart w:id="18" w:name="_Toc156815771"/>
      <w:bookmarkStart w:id="19" w:name="_Toc166549449"/>
      <w:bookmarkStart w:id="20" w:name="_Toc156196560"/>
      <w:bookmarkStart w:id="21" w:name="_Toc128229746"/>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14:paraId="278531EA">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75017344"/>
      <w:bookmarkStart w:id="23" w:name="_Toc237057793"/>
      <w:bookmarkStart w:id="24" w:name="_Toc128229747"/>
      <w:bookmarkStart w:id="25" w:name="_Toc173677399"/>
      <w:bookmarkStart w:id="26" w:name="_Toc156196472"/>
      <w:bookmarkStart w:id="27" w:name="_Toc128229304"/>
      <w:bookmarkStart w:id="28" w:name="_Toc128014297"/>
    </w:p>
    <w:p w14:paraId="176EE9C2">
      <w:pPr>
        <w:pStyle w:val="3"/>
        <w:numPr>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五、</w:t>
      </w:r>
      <w:r>
        <w:rPr>
          <w:rFonts w:hint="eastAsia"/>
          <w:color w:val="auto"/>
          <w:sz w:val="28"/>
          <w:szCs w:val="28"/>
        </w:rPr>
        <w:t>投标人法定代表人授权委托书（格式）</w:t>
      </w:r>
      <w:bookmarkEnd w:id="22"/>
      <w:bookmarkEnd w:id="23"/>
      <w:bookmarkEnd w:id="24"/>
      <w:bookmarkEnd w:id="25"/>
      <w:bookmarkEnd w:id="26"/>
      <w:bookmarkEnd w:id="27"/>
      <w:bookmarkEnd w:id="28"/>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3E9CC435">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4"/>
        <w:rPr>
          <w:color w:val="auto"/>
        </w:rPr>
      </w:pPr>
    </w:p>
    <w:p w14:paraId="3341EA35">
      <w:pPr>
        <w:tabs>
          <w:tab w:val="left" w:pos="6300"/>
        </w:tabs>
        <w:adjustRightInd w:val="0"/>
        <w:snapToGrid w:val="0"/>
        <w:spacing w:line="360" w:lineRule="auto"/>
        <w:rPr>
          <w:rFonts w:ascii="仿宋" w:hAnsi="仿宋" w:eastAsia="仿宋"/>
          <w:b/>
          <w:snapToGrid w:val="0"/>
          <w:color w:val="auto"/>
          <w:kern w:val="0"/>
          <w:sz w:val="24"/>
        </w:rPr>
      </w:pPr>
    </w:p>
    <w:p w14:paraId="0A03B2E4">
      <w:pPr>
        <w:tabs>
          <w:tab w:val="left" w:pos="6300"/>
        </w:tabs>
        <w:adjustRightInd w:val="0"/>
        <w:snapToGrid w:val="0"/>
        <w:spacing w:line="360" w:lineRule="auto"/>
        <w:rPr>
          <w:rFonts w:ascii="仿宋" w:hAnsi="仿宋" w:eastAsia="仿宋"/>
          <w:b/>
          <w:snapToGrid w:val="0"/>
          <w:color w:val="auto"/>
          <w:kern w:val="0"/>
          <w:sz w:val="24"/>
        </w:rPr>
      </w:pPr>
    </w:p>
    <w:p w14:paraId="7D4D9BFE">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六、本项目其他采购人的业绩资料（如合同或发票）。</w:t>
      </w:r>
    </w:p>
    <w:p w14:paraId="78D4A926">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6CF4FB0D">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七、其他可以证明投标人有能力完成本项目的佐证材料（如供应商、生产厂家资料等）</w:t>
      </w:r>
    </w:p>
    <w:p w14:paraId="5F9D816F">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八、投标产品相关资料（合格证、产品参数性能彩页、检验检测报告、医疗器械需提供医疗器械注册证或备案证等）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九、</w:t>
      </w:r>
      <w:r>
        <w:rPr>
          <w:rFonts w:hint="eastAsia" w:ascii="方正仿宋_GBK" w:hAnsi="方正仿宋_GBK" w:eastAsia="方正仿宋_GBK" w:cs="方正仿宋_GBK"/>
          <w:b/>
          <w:bCs/>
          <w:sz w:val="32"/>
          <w:szCs w:val="32"/>
        </w:rPr>
        <w:t>质保及售后服务承诺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4"/>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十一、投标廉政承诺书</w:t>
      </w:r>
    </w:p>
    <w:p w14:paraId="24D85696">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十二、密封档案袋格式要求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9"/>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10"/>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C872834"/>
    <w:rsid w:val="0CE64C8D"/>
    <w:rsid w:val="0FD01451"/>
    <w:rsid w:val="122D0B62"/>
    <w:rsid w:val="1922346A"/>
    <w:rsid w:val="1AAE2C67"/>
    <w:rsid w:val="1AF86BE0"/>
    <w:rsid w:val="1B3306B6"/>
    <w:rsid w:val="1BDE0896"/>
    <w:rsid w:val="1CF00EFC"/>
    <w:rsid w:val="21426D4A"/>
    <w:rsid w:val="236757CC"/>
    <w:rsid w:val="2C3529EE"/>
    <w:rsid w:val="2FC44243"/>
    <w:rsid w:val="31092EA8"/>
    <w:rsid w:val="33FB61AD"/>
    <w:rsid w:val="342C6BC9"/>
    <w:rsid w:val="376E6279"/>
    <w:rsid w:val="38A14340"/>
    <w:rsid w:val="3D8263F7"/>
    <w:rsid w:val="44C5770F"/>
    <w:rsid w:val="44EF71C4"/>
    <w:rsid w:val="475D7492"/>
    <w:rsid w:val="482D6FF9"/>
    <w:rsid w:val="496140CE"/>
    <w:rsid w:val="4AE139DB"/>
    <w:rsid w:val="4BDB0A24"/>
    <w:rsid w:val="4C31315D"/>
    <w:rsid w:val="4F6D75ED"/>
    <w:rsid w:val="51352B6B"/>
    <w:rsid w:val="53A17F68"/>
    <w:rsid w:val="53DB6C22"/>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4415</Words>
  <Characters>4706</Characters>
  <Lines>0</Lines>
  <Paragraphs>0</Paragraphs>
  <TotalTime>8</TotalTime>
  <ScaleCrop>false</ScaleCrop>
  <LinksUpToDate>false</LinksUpToDate>
  <CharactersWithSpaces>5319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2024-07-24T01:12:10Z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