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bookmarkStart w:id="31" w:name="_GoBack"/>
      <w:bookmarkEnd w:id="31"/>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项目名称：医院环境检测委托服务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项目编号：BSRMYY-YNCG-2024-05006</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供应商资质条件佐证材料（须圈出符合资质要求的经营范围和有效期）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9.</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10.密封档案袋格式要求。</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jc w:val="both"/>
        <w:textAlignment w:val="auto"/>
        <w:outlineLvl w:val="9"/>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1.供应商资质条件佐证材料（公司营业执照须圈出符合资质要求的经营范围和有效期）。具备国家认可的检测资质。</w:t>
      </w:r>
    </w:p>
    <w:p>
      <w:pPr>
        <w:jc w:val="both"/>
        <w:rPr>
          <w:rFonts w:hint="default" w:ascii="仿宋_GB2312" w:hAnsi="Arial" w:eastAsia="仿宋_GB2312" w:cstheme="minorBidi"/>
          <w:b/>
          <w:color w:val="auto"/>
          <w:kern w:val="2"/>
          <w:sz w:val="24"/>
          <w:szCs w:val="24"/>
          <w:lang w:val="en-US" w:eastAsia="zh-CN" w:bidi="ar-SA"/>
        </w:rPr>
      </w:pP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228"/>
        <w:gridCol w:w="7373"/>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228"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7373" w:type="dxa"/>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ascii="Times New Roman" w:hAnsi="Times New Roman" w:eastAsia="仿宋" w:cs="Times New Roman"/>
                <w:b/>
                <w:kern w:val="0"/>
                <w:sz w:val="24"/>
                <w:szCs w:val="24"/>
                <w:lang w:val="en-US" w:eastAsia="zh-CN"/>
              </w:rPr>
              <w:t>服务内容要求</w:t>
            </w:r>
            <w:r>
              <w:rPr>
                <w:rFonts w:hint="eastAsia" w:ascii="Times New Roman" w:hAnsi="Times New Roman" w:eastAsia="仿宋" w:cs="Times New Roman"/>
                <w:b/>
                <w:bCs w:val="0"/>
                <w:kern w:val="0"/>
                <w:sz w:val="24"/>
                <w:szCs w:val="24"/>
                <w:lang w:val="en-US" w:eastAsia="zh-CN"/>
              </w:rPr>
              <w:t>（须完全响应）</w:t>
            </w:r>
          </w:p>
        </w:tc>
        <w:tc>
          <w:tcPr>
            <w:tcW w:w="1326"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5"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228"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微软雅黑" w:hAnsi="微软雅黑" w:eastAsia="微软雅黑" w:cs="微软雅黑"/>
                <w:i w:val="0"/>
                <w:caps w:val="0"/>
                <w:color w:val="555555"/>
                <w:spacing w:val="0"/>
                <w:sz w:val="21"/>
                <w:szCs w:val="21"/>
                <w:lang w:val="en-US" w:eastAsia="zh-CN"/>
              </w:rPr>
              <w:t>新院区监测因子频率汇总</w:t>
            </w:r>
          </w:p>
        </w:tc>
        <w:tc>
          <w:tcPr>
            <w:tcW w:w="7373" w:type="dxa"/>
            <w:vAlign w:val="center"/>
          </w:tcPr>
          <w:tbl>
            <w:tblPr>
              <w:tblW w:w="7361" w:type="dxa"/>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52"/>
              <w:gridCol w:w="707"/>
              <w:gridCol w:w="1000"/>
              <w:gridCol w:w="1491"/>
              <w:gridCol w:w="1005"/>
              <w:gridCol w:w="1154"/>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序号</w:t>
                  </w:r>
                </w:p>
              </w:tc>
              <w:tc>
                <w:tcPr>
                  <w:tcW w:w="1707"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类别</w:t>
                  </w: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监测指标</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监测点位</w:t>
                  </w:r>
                </w:p>
              </w:tc>
              <w:tc>
                <w:tcPr>
                  <w:tcW w:w="11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单日监测频次</w:t>
                  </w: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（单位：次）</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监测要求</w:t>
                  </w: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（单位：次）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1</w:t>
                  </w:r>
                </w:p>
              </w:tc>
              <w:tc>
                <w:tcPr>
                  <w:tcW w:w="707" w:type="dxa"/>
                  <w:vMerge w:val="restar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废气</w:t>
                  </w:r>
                </w:p>
              </w:tc>
              <w:tc>
                <w:tcPr>
                  <w:tcW w:w="100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有组织废气</w:t>
                  </w: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油烟</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食堂1#</w:t>
                  </w: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食堂2#</w:t>
                  </w:r>
                </w:p>
              </w:tc>
              <w:tc>
                <w:tcPr>
                  <w:tcW w:w="11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5</w:t>
                  </w:r>
                </w:p>
              </w:tc>
              <w:tc>
                <w:tcPr>
                  <w:tcW w:w="1252"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按季度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2</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非甲烷总烃</w:t>
                  </w: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4</w:t>
                  </w: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3</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烟气参数</w:t>
                  </w: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5</w:t>
                  </w: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4</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二氧化硫</w:t>
                  </w:r>
                </w:p>
              </w:tc>
              <w:tc>
                <w:tcPr>
                  <w:tcW w:w="100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锅炉废气</w:t>
                  </w:r>
                </w:p>
              </w:tc>
              <w:tc>
                <w:tcPr>
                  <w:tcW w:w="11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3</w:t>
                  </w: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5</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氮氧化物</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6</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烟尘</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7</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烟气参数</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8</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颗粒物</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9</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氨</w:t>
                  </w:r>
                </w:p>
              </w:tc>
              <w:tc>
                <w:tcPr>
                  <w:tcW w:w="10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污水处理站</w:t>
                  </w: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br w:type="textWrapping"/>
                  </w: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废气排放口</w:t>
                  </w: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10</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硫化氢</w:t>
                  </w: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1"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11</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臭气浓度</w:t>
                  </w: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12</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restar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无组织废气</w:t>
                  </w: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氯气</w:t>
                  </w: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13</w:t>
                  </w:r>
                </w:p>
              </w:tc>
              <w:tc>
                <w:tcPr>
                  <w:tcW w:w="707"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甲烷</w:t>
                  </w:r>
                </w:p>
              </w:tc>
              <w:tc>
                <w:tcPr>
                  <w:tcW w:w="10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14</w:t>
                  </w:r>
                </w:p>
              </w:tc>
              <w:tc>
                <w:tcPr>
                  <w:tcW w:w="707"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废水</w:t>
                  </w:r>
                </w:p>
              </w:tc>
              <w:tc>
                <w:tcPr>
                  <w:tcW w:w="100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综合废水</w:t>
                  </w: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阴离子表面活性剂</w:t>
                  </w:r>
                </w:p>
              </w:tc>
              <w:tc>
                <w:tcPr>
                  <w:tcW w:w="1005"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污水处理站</w:t>
                  </w:r>
                </w:p>
              </w:tc>
              <w:tc>
                <w:tcPr>
                  <w:tcW w:w="1154"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3</w:t>
                  </w: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15</w:t>
                  </w:r>
                </w:p>
              </w:tc>
              <w:tc>
                <w:tcPr>
                  <w:tcW w:w="70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化学需氧量</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16</w:t>
                  </w:r>
                </w:p>
              </w:tc>
              <w:tc>
                <w:tcPr>
                  <w:tcW w:w="70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五日生化需氧量</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17</w:t>
                  </w:r>
                </w:p>
              </w:tc>
              <w:tc>
                <w:tcPr>
                  <w:tcW w:w="70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动植物油</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18</w:t>
                  </w:r>
                </w:p>
              </w:tc>
              <w:tc>
                <w:tcPr>
                  <w:tcW w:w="70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氨氮</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19</w:t>
                  </w:r>
                </w:p>
              </w:tc>
              <w:tc>
                <w:tcPr>
                  <w:tcW w:w="70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总余氯</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20</w:t>
                  </w:r>
                </w:p>
              </w:tc>
              <w:tc>
                <w:tcPr>
                  <w:tcW w:w="70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志贺氏菌群</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21</w:t>
                  </w:r>
                </w:p>
              </w:tc>
              <w:tc>
                <w:tcPr>
                  <w:tcW w:w="70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结核杆菌</w:t>
                  </w:r>
                  <w:r>
                    <w:rPr>
                      <w:rStyle w:val="23"/>
                      <w:bdr w:val="none" w:color="auto" w:sz="0" w:space="0"/>
                      <w:lang w:val="en-US" w:eastAsia="zh-CN" w:bidi="ar"/>
                    </w:rPr>
                    <w:t>C</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22</w:t>
                  </w:r>
                </w:p>
              </w:tc>
              <w:tc>
                <w:tcPr>
                  <w:tcW w:w="70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悬浮物</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按周和季度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23</w:t>
                  </w:r>
                </w:p>
              </w:tc>
              <w:tc>
                <w:tcPr>
                  <w:tcW w:w="70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石油类</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按月和季度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24</w:t>
                  </w:r>
                </w:p>
              </w:tc>
              <w:tc>
                <w:tcPr>
                  <w:tcW w:w="70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挥发酚</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25</w:t>
                  </w:r>
                </w:p>
              </w:tc>
              <w:tc>
                <w:tcPr>
                  <w:tcW w:w="70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粪大肠菌群</w:t>
                  </w:r>
                </w:p>
              </w:tc>
              <w:tc>
                <w:tcPr>
                  <w:tcW w:w="100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7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26</w:t>
                  </w:r>
                </w:p>
              </w:tc>
              <w:tc>
                <w:tcPr>
                  <w:tcW w:w="70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噪音</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厂界噪音</w:t>
                  </w:r>
                </w:p>
              </w:tc>
              <w:tc>
                <w:tcPr>
                  <w:tcW w:w="149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噪音</w:t>
                  </w:r>
                </w:p>
              </w:tc>
              <w:tc>
                <w:tcPr>
                  <w:tcW w:w="10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昼夜噪音</w:t>
                  </w:r>
                </w:p>
              </w:tc>
              <w:tc>
                <w:tcPr>
                  <w:tcW w:w="115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2</w:t>
                  </w:r>
                </w:p>
              </w:tc>
              <w:tc>
                <w:tcPr>
                  <w:tcW w:w="12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按季度</w:t>
                  </w:r>
                </w:p>
              </w:tc>
            </w:tr>
          </w:tbl>
          <w:p>
            <w:pPr>
              <w:pStyle w:val="2"/>
              <w:numPr>
                <w:numId w:val="0"/>
              </w:numPr>
              <w:tabs>
                <w:tab w:val="clear" w:pos="3600"/>
              </w:tabs>
              <w:rPr>
                <w:rFonts w:hint="default"/>
                <w:lang w:val="en-US" w:eastAsia="zh-CN"/>
              </w:rPr>
            </w:pPr>
          </w:p>
        </w:tc>
        <w:tc>
          <w:tcPr>
            <w:tcW w:w="1326" w:type="dxa"/>
            <w:vAlign w:val="center"/>
          </w:tcPr>
          <w:p>
            <w:pPr>
              <w:widowControl/>
              <w:spacing w:line="360" w:lineRule="auto"/>
              <w:jc w:val="center"/>
              <w:rPr>
                <w:rFonts w:hint="default"/>
                <w:lang w:val="en-US" w:eastAsia="zh-CN"/>
              </w:rPr>
            </w:pP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228" w:type="dxa"/>
            <w:tcBorders>
              <w:top w:val="single" w:color="auto" w:sz="4" w:space="0"/>
              <w:left w:val="single" w:color="auto" w:sz="4" w:space="0"/>
              <w:bottom w:val="single" w:color="auto" w:sz="4" w:space="0"/>
              <w:right w:val="single" w:color="auto" w:sz="4" w:space="0"/>
            </w:tcBorders>
            <w:vAlign w:val="center"/>
          </w:tcPr>
          <w:p>
            <w:pPr>
              <w:bidi w:val="0"/>
              <w:jc w:val="left"/>
              <w:rPr>
                <w:rFonts w:hint="eastAsia"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东关院区、三角滩院区监测因子频率汇总</w:t>
            </w:r>
          </w:p>
        </w:tc>
        <w:tc>
          <w:tcPr>
            <w:tcW w:w="7373" w:type="dxa"/>
            <w:vAlign w:val="center"/>
          </w:tcPr>
          <w:tbl>
            <w:tblPr>
              <w:tblW w:w="7348" w:type="dxa"/>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61"/>
              <w:gridCol w:w="771"/>
              <w:gridCol w:w="966"/>
              <w:gridCol w:w="1500"/>
              <w:gridCol w:w="787"/>
              <w:gridCol w:w="1342"/>
              <w:gridCol w:w="1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序号</w:t>
                  </w:r>
                </w:p>
              </w:tc>
              <w:tc>
                <w:tcPr>
                  <w:tcW w:w="1737"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类别</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监测指标</w:t>
                  </w:r>
                </w:p>
              </w:tc>
              <w:tc>
                <w:tcPr>
                  <w:tcW w:w="7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监测点位</w:t>
                  </w:r>
                </w:p>
              </w:tc>
              <w:tc>
                <w:tcPr>
                  <w:tcW w:w="1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单日监测频次</w:t>
                  </w: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（单位：次）</w:t>
                  </w:r>
                </w:p>
              </w:tc>
              <w:tc>
                <w:tcPr>
                  <w:tcW w:w="13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监测要求</w:t>
                  </w: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（单位：次）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1</w:t>
                  </w:r>
                </w:p>
              </w:tc>
              <w:tc>
                <w:tcPr>
                  <w:tcW w:w="771"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废气</w:t>
                  </w:r>
                </w:p>
              </w:tc>
              <w:tc>
                <w:tcPr>
                  <w:tcW w:w="966"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有组织废气</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硫化氢</w:t>
                  </w:r>
                </w:p>
              </w:tc>
              <w:tc>
                <w:tcPr>
                  <w:tcW w:w="787"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污水</w:t>
                  </w: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处理站</w:t>
                  </w:r>
                </w:p>
              </w:tc>
              <w:tc>
                <w:tcPr>
                  <w:tcW w:w="1342" w:type="dxa"/>
                  <w:vMerge w:val="restart"/>
                  <w:tcBorders>
                    <w:top w:val="single" w:color="000000" w:sz="4" w:space="0"/>
                    <w:left w:val="single" w:color="000000" w:sz="4" w:space="0"/>
                    <w:bottom w:val="nil"/>
                    <w:right w:val="nil"/>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3</w:t>
                  </w:r>
                </w:p>
              </w:tc>
              <w:tc>
                <w:tcPr>
                  <w:tcW w:w="1321"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按季度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2</w:t>
                  </w:r>
                </w:p>
              </w:tc>
              <w:tc>
                <w:tcPr>
                  <w:tcW w:w="7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臭气浓度</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3</w:t>
                  </w:r>
                </w:p>
              </w:tc>
              <w:tc>
                <w:tcPr>
                  <w:tcW w:w="7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氨（氨气）</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4</w:t>
                  </w:r>
                </w:p>
              </w:tc>
              <w:tc>
                <w:tcPr>
                  <w:tcW w:w="7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无组织废气</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氯</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5</w:t>
                  </w:r>
                </w:p>
              </w:tc>
              <w:tc>
                <w:tcPr>
                  <w:tcW w:w="77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甲烷</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6</w:t>
                  </w:r>
                </w:p>
              </w:tc>
              <w:tc>
                <w:tcPr>
                  <w:tcW w:w="771" w:type="dxa"/>
                  <w:vMerge w:val="restart"/>
                  <w:tcBorders>
                    <w:top w:val="nil"/>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废水</w:t>
                  </w:r>
                </w:p>
              </w:tc>
              <w:tc>
                <w:tcPr>
                  <w:tcW w:w="966" w:type="dxa"/>
                  <w:vMerge w:val="restar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综合废水</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悬浮物</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7</w:t>
                  </w:r>
                </w:p>
              </w:tc>
              <w:tc>
                <w:tcPr>
                  <w:tcW w:w="771" w:type="dxa"/>
                  <w:vMerge w:val="continue"/>
                  <w:tcBorders>
                    <w:top w:val="nil"/>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五日生化需氧量</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8</w:t>
                  </w:r>
                </w:p>
              </w:tc>
              <w:tc>
                <w:tcPr>
                  <w:tcW w:w="771" w:type="dxa"/>
                  <w:vMerge w:val="continue"/>
                  <w:tcBorders>
                    <w:top w:val="nil"/>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化学需氧量</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9</w:t>
                  </w:r>
                </w:p>
              </w:tc>
              <w:tc>
                <w:tcPr>
                  <w:tcW w:w="771" w:type="dxa"/>
                  <w:vMerge w:val="continue"/>
                  <w:tcBorders>
                    <w:top w:val="nil"/>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阴离子表面活性剂</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10</w:t>
                  </w:r>
                </w:p>
              </w:tc>
              <w:tc>
                <w:tcPr>
                  <w:tcW w:w="771" w:type="dxa"/>
                  <w:vMerge w:val="continue"/>
                  <w:tcBorders>
                    <w:top w:val="nil"/>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氨氮</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11</w:t>
                  </w:r>
                </w:p>
              </w:tc>
              <w:tc>
                <w:tcPr>
                  <w:tcW w:w="771" w:type="dxa"/>
                  <w:vMerge w:val="continue"/>
                  <w:tcBorders>
                    <w:top w:val="nil"/>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动植物油</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12</w:t>
                  </w:r>
                </w:p>
              </w:tc>
              <w:tc>
                <w:tcPr>
                  <w:tcW w:w="771" w:type="dxa"/>
                  <w:vMerge w:val="continue"/>
                  <w:tcBorders>
                    <w:top w:val="nil"/>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总氰化物</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13</w:t>
                  </w:r>
                </w:p>
              </w:tc>
              <w:tc>
                <w:tcPr>
                  <w:tcW w:w="771" w:type="dxa"/>
                  <w:vMerge w:val="continue"/>
                  <w:tcBorders>
                    <w:top w:val="nil"/>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PH值</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14</w:t>
                  </w:r>
                </w:p>
              </w:tc>
              <w:tc>
                <w:tcPr>
                  <w:tcW w:w="771" w:type="dxa"/>
                  <w:vMerge w:val="continue"/>
                  <w:tcBorders>
                    <w:top w:val="nil"/>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石油类</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15</w:t>
                  </w:r>
                </w:p>
              </w:tc>
              <w:tc>
                <w:tcPr>
                  <w:tcW w:w="771" w:type="dxa"/>
                  <w:vMerge w:val="continue"/>
                  <w:tcBorders>
                    <w:top w:val="nil"/>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挥发酚</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16</w:t>
                  </w:r>
                </w:p>
              </w:tc>
              <w:tc>
                <w:tcPr>
                  <w:tcW w:w="771" w:type="dxa"/>
                  <w:vMerge w:val="continue"/>
                  <w:tcBorders>
                    <w:top w:val="nil"/>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粪大肠菌群数</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17</w:t>
                  </w:r>
                </w:p>
              </w:tc>
              <w:tc>
                <w:tcPr>
                  <w:tcW w:w="771" w:type="dxa"/>
                  <w:vMerge w:val="continue"/>
                  <w:tcBorders>
                    <w:top w:val="nil"/>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66" w:type="dxa"/>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总余氯</w:t>
                  </w:r>
                </w:p>
              </w:tc>
              <w:tc>
                <w:tcPr>
                  <w:tcW w:w="787"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42" w:type="dxa"/>
                  <w:vMerge w:val="continue"/>
                  <w:tcBorders>
                    <w:top w:val="single" w:color="000000" w:sz="4" w:space="0"/>
                    <w:left w:val="single" w:color="000000" w:sz="4" w:space="0"/>
                    <w:bottom w:val="nil"/>
                    <w:right w:val="nil"/>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18</w:t>
                  </w:r>
                </w:p>
              </w:tc>
              <w:tc>
                <w:tcPr>
                  <w:tcW w:w="77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噪音</w:t>
                  </w:r>
                </w:p>
              </w:tc>
              <w:tc>
                <w:tcPr>
                  <w:tcW w:w="9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厂界噪音</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噪音</w:t>
                  </w:r>
                </w:p>
              </w:tc>
              <w:tc>
                <w:tcPr>
                  <w:tcW w:w="7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bdr w:val="none" w:color="auto" w:sz="0" w:space="0"/>
                      <w:lang w:val="en-US" w:eastAsia="zh-CN" w:bidi="ar"/>
                    </w:rPr>
                    <w:t>昼夜噪音</w:t>
                  </w:r>
                </w:p>
              </w:tc>
              <w:tc>
                <w:tcPr>
                  <w:tcW w:w="1342"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bdr w:val="none" w:color="auto" w:sz="0" w:space="0"/>
                      <w:lang w:val="en-US" w:eastAsia="zh-CN" w:bidi="ar"/>
                    </w:rPr>
                    <w:t>2</w:t>
                  </w:r>
                </w:p>
              </w:tc>
              <w:tc>
                <w:tcPr>
                  <w:tcW w:w="1321"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方正仿宋_GBK" w:hAnsi="方正仿宋_GBK" w:eastAsia="方正仿宋_GBK" w:cs="方正仿宋_GBK"/>
                      <w:b/>
                      <w:bCs/>
                      <w:i w:val="0"/>
                      <w:iCs w:val="0"/>
                      <w:color w:val="000000"/>
                      <w:sz w:val="24"/>
                      <w:szCs w:val="24"/>
                      <w:u w:val="none"/>
                    </w:rPr>
                  </w:pPr>
                </w:p>
              </w:tc>
            </w:tr>
          </w:tbl>
          <w:p>
            <w:pPr>
              <w:widowControl/>
              <w:spacing w:line="360" w:lineRule="auto"/>
              <w:jc w:val="left"/>
              <w:rPr>
                <w:rFonts w:hint="default" w:ascii="方正仿宋_GBK" w:hAnsi="方正仿宋_GBK" w:eastAsia="方正仿宋_GBK" w:cs="方正仿宋_GBK"/>
                <w:bCs/>
                <w:sz w:val="24"/>
                <w:szCs w:val="24"/>
                <w:lang w:val="en-US" w:eastAsia="zh-CN"/>
              </w:rPr>
            </w:pPr>
          </w:p>
        </w:tc>
        <w:tc>
          <w:tcPr>
            <w:tcW w:w="1326" w:type="dxa"/>
            <w:vAlign w:val="center"/>
          </w:tcPr>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228"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微软雅黑" w:hAnsi="微软雅黑" w:eastAsia="微软雅黑" w:cs="微软雅黑"/>
                <w:i w:val="0"/>
                <w:caps w:val="0"/>
                <w:color w:val="555555"/>
                <w:spacing w:val="0"/>
                <w:sz w:val="21"/>
                <w:szCs w:val="21"/>
                <w:lang w:val="en-US" w:eastAsia="zh-CN"/>
              </w:rPr>
            </w:pPr>
            <w:r>
              <w:rPr>
                <w:rFonts w:hint="eastAsia" w:ascii="微软雅黑" w:hAnsi="微软雅黑" w:eastAsia="微软雅黑" w:cs="微软雅黑"/>
                <w:i w:val="0"/>
                <w:caps w:val="0"/>
                <w:color w:val="555555"/>
                <w:spacing w:val="0"/>
                <w:sz w:val="21"/>
                <w:szCs w:val="21"/>
                <w:lang w:val="en-US" w:eastAsia="zh-CN"/>
              </w:rPr>
              <w:t>服务要求</w:t>
            </w:r>
          </w:p>
        </w:tc>
        <w:tc>
          <w:tcPr>
            <w:tcW w:w="7373" w:type="dxa"/>
            <w:vAlign w:val="center"/>
          </w:tcPr>
          <w:p>
            <w:pPr>
              <w:widowControl/>
              <w:spacing w:line="360" w:lineRule="auto"/>
              <w:jc w:val="left"/>
              <w:rPr>
                <w:rFonts w:hint="default"/>
                <w:lang w:val="en-US" w:eastAsia="zh-CN"/>
              </w:rPr>
            </w:pPr>
            <w:r>
              <w:rPr>
                <w:rFonts w:hint="default"/>
                <w:lang w:val="en-US" w:eastAsia="zh-CN"/>
              </w:rPr>
              <w:t>1.保证监测数据的及时、有效和合法性。</w:t>
            </w:r>
          </w:p>
          <w:p>
            <w:pPr>
              <w:widowControl/>
              <w:spacing w:line="360" w:lineRule="auto"/>
              <w:jc w:val="left"/>
              <w:rPr>
                <w:rFonts w:hint="default"/>
                <w:lang w:val="en-US" w:eastAsia="zh-CN"/>
              </w:rPr>
            </w:pPr>
            <w:r>
              <w:rPr>
                <w:rFonts w:hint="default"/>
                <w:lang w:val="en-US" w:eastAsia="zh-CN"/>
              </w:rPr>
              <w:t>2.乙方按甲方要求对甲方提供的相关信息保密。</w:t>
            </w:r>
          </w:p>
          <w:p>
            <w:pPr>
              <w:widowControl/>
              <w:spacing w:line="360" w:lineRule="auto"/>
              <w:jc w:val="left"/>
              <w:rPr>
                <w:rFonts w:hint="default"/>
                <w:lang w:val="en-US" w:eastAsia="zh-CN"/>
              </w:rPr>
            </w:pPr>
            <w:r>
              <w:rPr>
                <w:rFonts w:hint="default"/>
                <w:lang w:val="en-US" w:eastAsia="zh-CN"/>
              </w:rPr>
              <w:t>3.监测报告未经同意，不得复制和修改，经批准同意的监测报告必须全文复制，复制的报告未重新加盖乙方公司业务专用章无效。</w:t>
            </w:r>
          </w:p>
          <w:p>
            <w:pPr>
              <w:widowControl/>
              <w:spacing w:line="360" w:lineRule="auto"/>
              <w:jc w:val="left"/>
              <w:rPr>
                <w:rFonts w:hint="default"/>
                <w:lang w:val="en-US" w:eastAsia="zh-CN"/>
              </w:rPr>
            </w:pPr>
            <w:r>
              <w:rPr>
                <w:rFonts w:hint="default"/>
                <w:lang w:val="en-US" w:eastAsia="zh-CN"/>
              </w:rPr>
              <w:t>4.乙方的监测数据和结果仅对甲方送检样品负责:</w:t>
            </w:r>
          </w:p>
          <w:p>
            <w:pPr>
              <w:widowControl/>
              <w:spacing w:line="360" w:lineRule="auto"/>
              <w:jc w:val="left"/>
              <w:rPr>
                <w:rFonts w:hint="default"/>
                <w:lang w:val="en-US" w:eastAsia="zh-CN"/>
              </w:rPr>
            </w:pPr>
            <w:r>
              <w:rPr>
                <w:rFonts w:hint="default"/>
                <w:lang w:val="en-US" w:eastAsia="zh-CN"/>
              </w:rPr>
              <w:t>5.乙方应在完成现场采样后，须15个工作日出具监测结果和正式书面监汇报告</w:t>
            </w:r>
            <w:r>
              <w:rPr>
                <w:rFonts w:hint="eastAsia"/>
                <w:lang w:val="en-US" w:eastAsia="zh-CN"/>
              </w:rPr>
              <w:t>，报告份数按采购人要求提供</w:t>
            </w:r>
            <w:r>
              <w:rPr>
                <w:rFonts w:hint="default"/>
                <w:lang w:val="en-US" w:eastAsia="zh-CN"/>
              </w:rPr>
              <w:t>。</w:t>
            </w:r>
          </w:p>
          <w:p>
            <w:pPr>
              <w:widowControl/>
              <w:spacing w:line="360" w:lineRule="auto"/>
              <w:jc w:val="left"/>
              <w:rPr>
                <w:rFonts w:hint="eastAsia"/>
                <w:lang w:val="en-US" w:eastAsia="zh-CN"/>
              </w:rPr>
            </w:pPr>
            <w:r>
              <w:rPr>
                <w:rFonts w:hint="eastAsia"/>
                <w:lang w:val="en-US" w:eastAsia="zh-CN"/>
              </w:rPr>
              <w:t>6.第三方对检测数据提出质疑时应负责提供相关证据并进行解答。</w:t>
            </w:r>
          </w:p>
          <w:p>
            <w:pPr>
              <w:widowControl/>
              <w:spacing w:line="360" w:lineRule="auto"/>
              <w:jc w:val="left"/>
              <w:rPr>
                <w:rFonts w:hint="default"/>
                <w:lang w:val="en-US" w:eastAsia="zh-CN"/>
              </w:rPr>
            </w:pPr>
            <w:r>
              <w:rPr>
                <w:rFonts w:hint="eastAsia"/>
                <w:lang w:val="en-US" w:eastAsia="zh-CN"/>
              </w:rPr>
              <w:t>7.服务期间有行业和国家最新规范要求和标准，应及时按最新要求和标准进行检测。</w:t>
            </w:r>
          </w:p>
        </w:tc>
        <w:tc>
          <w:tcPr>
            <w:tcW w:w="1326" w:type="dxa"/>
            <w:vAlign w:val="center"/>
          </w:tcPr>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4"/>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商务部分：（须完全响应）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1.交付期限：合同签订后</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按采购人要求</w:t>
            </w:r>
            <w:r>
              <w:rPr>
                <w:rFonts w:hint="default" w:ascii="方正仿宋_GBK" w:hAnsi="方正仿宋_GBK" w:eastAsia="方正仿宋_GBK" w:cs="方正仿宋_GBK"/>
                <w:bCs/>
                <w:sz w:val="24"/>
                <w:szCs w:val="24"/>
                <w:lang w:val="en-US" w:eastAsia="zh-CN"/>
              </w:rPr>
              <w:t>15个工作日出具监测结果和正式书面监汇报告</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检测费、人工费、材料打印装订邮寄费、差旅住宿费、交通费、税费、保险费、验收费、鉴定费等完成本项目所需的一切费用。因成交供应商自身原因造成漏报、少报皆由其自行承担责任，采购人不再补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rPr>
              <w:t>分期付款：</w:t>
            </w:r>
            <w:r>
              <w:rPr>
                <w:rFonts w:hint="eastAsia" w:ascii="方正仿宋_GBK" w:hAnsi="方正仿宋_GBK" w:eastAsia="方正仿宋_GBK" w:cs="方正仿宋_GBK"/>
                <w:sz w:val="24"/>
                <w:szCs w:val="24"/>
                <w:lang w:val="en-US" w:eastAsia="zh-CN"/>
              </w:rPr>
              <w:t>每半年支付一次</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正式检测报告</w:t>
            </w:r>
            <w:r>
              <w:rPr>
                <w:rFonts w:hint="eastAsia" w:ascii="方正仿宋_GBK" w:hAnsi="方正仿宋_GBK" w:eastAsia="方正仿宋_GBK" w:cs="方正仿宋_GBK"/>
                <w:sz w:val="24"/>
                <w:szCs w:val="24"/>
              </w:rPr>
              <w:t>，未及时提供</w:t>
            </w:r>
            <w:r>
              <w:rPr>
                <w:rFonts w:hint="eastAsia" w:ascii="方正仿宋_GBK" w:hAnsi="方正仿宋_GBK" w:eastAsia="方正仿宋_GBK" w:cs="方正仿宋_GBK"/>
                <w:sz w:val="24"/>
                <w:szCs w:val="24"/>
                <w:lang w:val="en-US" w:eastAsia="zh-CN"/>
              </w:rPr>
              <w:t>齐全</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成交供应商在接到成交通知后20日内与采购人签订合同</w:t>
            </w:r>
            <w:r>
              <w:rPr>
                <w:rFonts w:hint="eastAsia" w:ascii="方正仿宋_GBK" w:hAnsi="方正仿宋_GBK" w:eastAsia="方正仿宋_GBK" w:cs="方正仿宋_GBK"/>
                <w:sz w:val="24"/>
                <w:szCs w:val="24"/>
                <w:lang w:val="en-US" w:eastAsia="zh-CN"/>
              </w:rPr>
              <w:t>和购销廉政协议</w:t>
            </w:r>
            <w:r>
              <w:rPr>
                <w:rFonts w:hint="eastAsia" w:ascii="方正仿宋_GBK" w:hAnsi="方正仿宋_GBK" w:eastAsia="方正仿宋_GBK" w:cs="方正仿宋_GBK"/>
                <w:b/>
                <w:bCs/>
                <w:sz w:val="24"/>
                <w:szCs w:val="24"/>
                <w:lang w:val="en-US" w:eastAsia="zh-CN"/>
              </w:rPr>
              <w:t>。</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4"/>
                <w:lang w:val="en-US" w:eastAsia="zh-CN"/>
              </w:rPr>
              <w:t>履约</w:t>
            </w:r>
            <w:r>
              <w:rPr>
                <w:rFonts w:hint="eastAsia" w:ascii="方正仿宋_GBK" w:hAnsi="方正仿宋_GBK" w:eastAsia="方正仿宋_GBK" w:cs="方正仿宋_GBK"/>
                <w:sz w:val="24"/>
                <w:szCs w:val="24"/>
              </w:rPr>
              <w:t>验收</w:t>
            </w:r>
          </w:p>
          <w:p>
            <w:pPr>
              <w:spacing w:line="500" w:lineRule="exact"/>
              <w:ind w:firstLine="480" w:firstLineChars="200"/>
              <w:rPr>
                <w:rFonts w:hint="default"/>
                <w:lang w:val="en-US" w:eastAsia="zh-CN"/>
              </w:rPr>
            </w:pPr>
            <w:r>
              <w:rPr>
                <w:rFonts w:hint="eastAsia" w:ascii="方正仿宋_GBK" w:hAnsi="方正仿宋_GBK" w:eastAsia="方正仿宋_GBK" w:cs="方正仿宋_GBK"/>
                <w:sz w:val="24"/>
                <w:szCs w:val="24"/>
              </w:rPr>
              <w:t>1.成交供应商</w:t>
            </w:r>
            <w:r>
              <w:rPr>
                <w:rFonts w:hint="eastAsia" w:ascii="方正仿宋_GBK" w:hAnsi="方正仿宋_GBK" w:eastAsia="方正仿宋_GBK" w:cs="方正仿宋_GBK"/>
                <w:sz w:val="24"/>
                <w:szCs w:val="24"/>
                <w:lang w:val="en-US" w:eastAsia="zh-CN"/>
              </w:rPr>
              <w:t>应在规定的时限完成检测服务并出具加盖鲜章的检测报告，报告内容应查验内容是否真实和齐全，</w:t>
            </w:r>
            <w:r>
              <w:rPr>
                <w:rFonts w:hint="eastAsia" w:ascii="方正仿宋_GBK" w:hAnsi="方正仿宋_GBK" w:eastAsia="方正仿宋_GBK" w:cs="方正仿宋_GBK"/>
                <w:sz w:val="24"/>
                <w:szCs w:val="24"/>
              </w:rPr>
              <w:t>双方签字确认</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采购人在或第三方机构对报告提出疑问，须在10个工作日内书面回复答疑，如报告有误须立即更正并重新出具，因报告内容有误对采购人造成损失应全额赔偿。</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2.采购人或第三方机构对报告内容有疑问，供应商未在规定时限回复或更正的，采购人有权委托第三方检测公司重新检测，相关费用由供应商承担。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（五）</w:t>
            </w:r>
            <w:r>
              <w:rPr>
                <w:rFonts w:hint="eastAsia" w:ascii="方正仿宋_GBK" w:hAnsi="方正仿宋_GBK" w:eastAsia="方正仿宋_GBK" w:cs="方正仿宋_GBK"/>
                <w:sz w:val="24"/>
                <w:szCs w:val="24"/>
              </w:rPr>
              <w:t>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服务期间免费提供相关业务的电话咨询，必要时到现场进行沟通协调</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（六）履约保证金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spacing w:line="500" w:lineRule="exact"/>
              <w:ind w:firstLine="480" w:firstLineChars="200"/>
              <w:rPr>
                <w:rFonts w:hint="default"/>
                <w:lang w:val="en-US" w:eastAsia="zh-CN"/>
              </w:rPr>
            </w:pPr>
            <w:r>
              <w:rPr>
                <w:rFonts w:hint="eastAsia" w:ascii="方正仿宋_GBK" w:hAnsi="方正仿宋_GBK" w:eastAsia="方正仿宋_GBK" w:cs="方正仿宋_GBK"/>
                <w:sz w:val="24"/>
                <w:szCs w:val="24"/>
                <w:lang w:val="en-US" w:eastAsia="zh-CN"/>
              </w:rPr>
              <w:t>（八）违约责任：中标供应商未在约定期限完成交付验收，延迟交付每日支付千分之三的违约金，超过30日未能交付，采购人有权解除合同；验收不合格，采购人有权要求供应商整改，整改期限为10日，整改期限届满仍未完成的供应商每日支付千分之三的违约金，超过20日未能完成整改，采购人有权解除合同；采购人在或第三方检查机构对报告提出疑问，供应商未在规定时限回复或更正的，采购人有权委托第三方重新进行检测，相关费用由供应商承担，因报告内容有误对采购人造成损失应全额赔偿。</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4"/>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color w:val="555555"/>
                <w:kern w:val="0"/>
                <w:sz w:val="32"/>
                <w:szCs w:val="32"/>
                <w:lang w:val="en-US" w:eastAsia="zh-CN" w:bidi="ar"/>
              </w:rPr>
            </w:pPr>
            <w:r>
              <w:rPr>
                <w:rFonts w:hint="eastAsia" w:ascii="仿宋" w:hAnsi="仿宋" w:eastAsia="仿宋" w:cs="仿宋"/>
                <w:b/>
                <w:bCs/>
                <w:color w:val="555555"/>
                <w:kern w:val="0"/>
                <w:sz w:val="32"/>
                <w:szCs w:val="32"/>
                <w:lang w:bidi="ar"/>
              </w:rPr>
              <w:t xml:space="preserve">二、供应商响应情况 </w:t>
            </w:r>
            <w:r>
              <w:rPr>
                <w:rFonts w:hint="eastAsia" w:ascii="宋体" w:hAnsi="宋体" w:eastAsia="宋体" w:cs="宋体"/>
                <w:b/>
                <w:bCs/>
                <w:color w:val="555555"/>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auto"/>
            <w:gridSpan w:val="4"/>
            <w:vAlign w:val="center"/>
          </w:tcPr>
          <w:tbl>
            <w:tblPr>
              <w:tblStyle w:val="13"/>
              <w:tblpPr w:leftFromText="180" w:rightFromText="180" w:vertAnchor="text" w:horzAnchor="page" w:tblpX="151" w:tblpY="355"/>
              <w:tblOverlap w:val="never"/>
              <w:tblW w:w="10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903"/>
              <w:gridCol w:w="2008"/>
              <w:gridCol w:w="2273"/>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19" w:type="dxa"/>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序号</w:t>
                  </w:r>
                </w:p>
              </w:tc>
              <w:tc>
                <w:tcPr>
                  <w:tcW w:w="1903" w:type="dxa"/>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名称</w:t>
                  </w:r>
                </w:p>
              </w:tc>
              <w:tc>
                <w:tcPr>
                  <w:tcW w:w="2008"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技术参数是否完全响应</w:t>
                  </w:r>
                </w:p>
              </w:tc>
              <w:tc>
                <w:tcPr>
                  <w:tcW w:w="2273"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商务要求是否完全响应</w:t>
                  </w:r>
                </w:p>
              </w:tc>
              <w:tc>
                <w:tcPr>
                  <w:tcW w:w="3047"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val="en-US" w:eastAsia="zh-CN" w:bidi="ar"/>
                    </w:rPr>
                    <w:t>1年服务报价（</w:t>
                  </w:r>
                  <w:r>
                    <w:rPr>
                      <w:rFonts w:hint="eastAsia" w:ascii="仿宋" w:hAnsi="仿宋" w:eastAsia="仿宋" w:cs="仿宋"/>
                      <w:b/>
                      <w:bCs/>
                      <w:color w:val="555555"/>
                      <w:spacing w:val="-34"/>
                      <w:kern w:val="0"/>
                      <w:sz w:val="24"/>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19" w:type="dxa"/>
                </w:tcPr>
                <w:p>
                  <w:pPr>
                    <w:widowControl/>
                    <w:spacing w:line="360" w:lineRule="auto"/>
                    <w:jc w:val="left"/>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1</w:t>
                  </w:r>
                </w:p>
              </w:tc>
              <w:tc>
                <w:tcPr>
                  <w:tcW w:w="1903" w:type="dxa"/>
                </w:tcPr>
                <w:p>
                  <w:pPr>
                    <w:widowControl/>
                    <w:spacing w:line="360" w:lineRule="auto"/>
                    <w:jc w:val="left"/>
                    <w:rPr>
                      <w:rFonts w:hint="eastAsia" w:ascii="仿宋" w:hAnsi="仿宋" w:eastAsia="仿宋" w:cs="仿宋"/>
                      <w:b/>
                      <w:bCs/>
                      <w:color w:val="555555"/>
                      <w:kern w:val="0"/>
                      <w:sz w:val="24"/>
                      <w:lang w:eastAsia="zh-CN" w:bidi="ar"/>
                    </w:rPr>
                  </w:pPr>
                  <w:r>
                    <w:rPr>
                      <w:rFonts w:hint="eastAsia" w:ascii="仿宋" w:hAnsi="仿宋" w:eastAsia="仿宋" w:cs="仿宋"/>
                      <w:b/>
                      <w:bCs/>
                      <w:color w:val="555555"/>
                      <w:spacing w:val="-34"/>
                      <w:kern w:val="0"/>
                      <w:sz w:val="24"/>
                      <w:lang w:val="en-US" w:eastAsia="zh-CN" w:bidi="ar"/>
                    </w:rPr>
                    <w:t>医院环境检测委托服务</w:t>
                  </w:r>
                </w:p>
              </w:tc>
              <w:tc>
                <w:tcPr>
                  <w:tcW w:w="2008" w:type="dxa"/>
                </w:tcPr>
                <w:p>
                  <w:pPr>
                    <w:widowControl/>
                    <w:spacing w:line="360" w:lineRule="auto"/>
                    <w:jc w:val="left"/>
                    <w:rPr>
                      <w:rFonts w:ascii="仿宋" w:hAnsi="仿宋" w:eastAsia="仿宋" w:cs="仿宋"/>
                      <w:b/>
                      <w:bCs/>
                      <w:color w:val="555555"/>
                      <w:kern w:val="0"/>
                      <w:sz w:val="32"/>
                      <w:szCs w:val="32"/>
                      <w:lang w:bidi="ar"/>
                    </w:rPr>
                  </w:pPr>
                </w:p>
              </w:tc>
              <w:tc>
                <w:tcPr>
                  <w:tcW w:w="2273" w:type="dxa"/>
                </w:tcPr>
                <w:p>
                  <w:pPr>
                    <w:widowControl/>
                    <w:spacing w:line="360" w:lineRule="auto"/>
                    <w:jc w:val="left"/>
                    <w:rPr>
                      <w:rFonts w:ascii="仿宋" w:hAnsi="仿宋" w:eastAsia="仿宋" w:cs="仿宋"/>
                      <w:b/>
                      <w:bCs/>
                      <w:color w:val="555555"/>
                      <w:kern w:val="0"/>
                      <w:sz w:val="32"/>
                      <w:szCs w:val="32"/>
                      <w:lang w:bidi="ar"/>
                    </w:rPr>
                  </w:pPr>
                </w:p>
              </w:tc>
              <w:tc>
                <w:tcPr>
                  <w:tcW w:w="3047" w:type="dxa"/>
                </w:tcPr>
                <w:p>
                  <w:pPr>
                    <w:widowControl/>
                    <w:spacing w:line="360" w:lineRule="auto"/>
                    <w:jc w:val="left"/>
                    <w:rPr>
                      <w:rFonts w:ascii="仿宋" w:hAnsi="仿宋" w:eastAsia="仿宋" w:cs="仿宋"/>
                      <w:b/>
                      <w:bCs/>
                      <w:color w:val="555555"/>
                      <w:kern w:val="0"/>
                      <w:sz w:val="32"/>
                      <w:szCs w:val="32"/>
                      <w:lang w:bidi="ar"/>
                    </w:rPr>
                  </w:pPr>
                </w:p>
              </w:tc>
            </w:tr>
          </w:tbl>
          <w:p>
            <w:pPr>
              <w:widowControl/>
              <w:spacing w:line="360" w:lineRule="auto"/>
              <w:jc w:val="left"/>
              <w:rPr>
                <w:rFonts w:hint="eastAsia" w:ascii="仿宋" w:hAnsi="仿宋" w:eastAsia="仿宋" w:cs="仿宋"/>
                <w:b/>
                <w:bCs/>
                <w:color w:val="555555"/>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0" w:type="auto"/>
            <w:gridSpan w:val="4"/>
            <w:vAlign w:val="center"/>
          </w:tcPr>
          <w:p>
            <w:pPr>
              <w:pStyle w:val="9"/>
              <w:widowControl/>
              <w:spacing w:before="0" w:beforeAutospacing="0" w:after="0" w:afterAutospacing="0" w:line="380" w:lineRule="exact"/>
              <w:rPr>
                <w:rFonts w:ascii="仿宋" w:hAnsi="仿宋" w:eastAsia="仿宋" w:cs="仿宋"/>
                <w:b/>
                <w:bCs/>
                <w:color w:val="555555"/>
                <w:lang w:bidi="ar"/>
              </w:rPr>
            </w:pPr>
            <w:r>
              <w:rPr>
                <w:rFonts w:hint="eastAsia" w:ascii="仿宋" w:hAnsi="仿宋" w:eastAsia="仿宋" w:cs="仿宋"/>
                <w:b/>
                <w:bCs/>
                <w:color w:val="555555"/>
                <w:lang w:bidi="ar"/>
              </w:rPr>
              <w:t>注意：技术参数请在投标产品相关资料中提供佐证材料。</w:t>
            </w:r>
          </w:p>
          <w:p>
            <w:pPr>
              <w:pStyle w:val="9"/>
              <w:widowControl/>
              <w:wordWrap w:val="0"/>
              <w:spacing w:before="0" w:beforeAutospacing="0" w:after="0" w:afterAutospacing="0" w:line="380" w:lineRule="exact"/>
              <w:jc w:val="right"/>
              <w:rPr>
                <w:rFonts w:ascii="仿宋" w:hAnsi="仿宋" w:eastAsia="仿宋" w:cs="仿宋"/>
                <w:b/>
                <w:bCs/>
                <w:color w:val="555555"/>
                <w:lang w:bidi="ar"/>
              </w:rPr>
            </w:pPr>
            <w:r>
              <w:rPr>
                <w:rFonts w:hint="eastAsia" w:ascii="仿宋" w:hAnsi="仿宋" w:eastAsia="仿宋" w:cs="仿宋"/>
                <w:b/>
                <w:bCs/>
                <w:color w:val="555555"/>
                <w:lang w:bidi="ar"/>
              </w:rPr>
              <w:t xml:space="preserve">供应商名称（盖章）：               </w:t>
            </w:r>
          </w:p>
          <w:p>
            <w:pPr>
              <w:widowControl/>
              <w:spacing w:line="360" w:lineRule="auto"/>
              <w:jc w:val="center"/>
              <w:rPr>
                <w:rFonts w:hint="eastAsia" w:ascii="宋体" w:hAnsi="宋体" w:eastAsia="宋体" w:cs="宋体"/>
                <w:b/>
                <w:bCs/>
                <w:color w:val="555555"/>
                <w:kern w:val="0"/>
                <w:sz w:val="32"/>
                <w:szCs w:val="32"/>
                <w:lang w:val="en-US" w:eastAsia="zh-CN" w:bidi="ar"/>
              </w:rPr>
            </w:pPr>
            <w:r>
              <w:rPr>
                <w:rFonts w:hint="eastAsia" w:ascii="仿宋" w:hAnsi="仿宋" w:eastAsia="仿宋" w:cs="仿宋"/>
                <w:b/>
                <w:bCs/>
                <w:color w:val="555555"/>
                <w:kern w:val="0"/>
                <w:sz w:val="24"/>
                <w:lang w:bidi="ar"/>
              </w:rPr>
              <w:t xml:space="preserve">                                           日期：</w:t>
            </w:r>
            <w:r>
              <w:rPr>
                <w:rFonts w:hint="eastAsia" w:ascii="宋体" w:hAnsi="宋体" w:eastAsia="宋体" w:cs="宋体"/>
                <w:b/>
                <w:bCs/>
                <w:color w:val="555555"/>
                <w:kern w:val="0"/>
                <w:sz w:val="24"/>
                <w:lang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66549448"/>
      <w:bookmarkStart w:id="3" w:name="_Toc156196559"/>
      <w:bookmarkStart w:id="4" w:name="_Toc128229302"/>
      <w:bookmarkStart w:id="5" w:name="_Toc156196470"/>
      <w:bookmarkStart w:id="6" w:name="_Toc166139912"/>
      <w:bookmarkStart w:id="7" w:name="_Toc156815770"/>
      <w:bookmarkStart w:id="8" w:name="_Toc175017342"/>
      <w:bookmarkStart w:id="9" w:name="_Toc128229745"/>
      <w:bookmarkStart w:id="10" w:name="_Toc156730450"/>
      <w:bookmarkStart w:id="11" w:name="_Toc128229916"/>
      <w:bookmarkStart w:id="12" w:name="_Toc173677397"/>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66549449"/>
      <w:bookmarkStart w:id="14" w:name="_Toc128229917"/>
      <w:bookmarkStart w:id="15" w:name="_Toc156196560"/>
      <w:bookmarkStart w:id="16" w:name="_Toc156815771"/>
      <w:bookmarkStart w:id="17" w:name="_Toc156196471"/>
      <w:bookmarkStart w:id="18" w:name="_Toc156730451"/>
      <w:bookmarkStart w:id="19" w:name="_Toc175017343"/>
      <w:bookmarkStart w:id="20" w:name="_Toc173677398"/>
      <w:bookmarkStart w:id="21" w:name="_Toc128229303"/>
      <w:bookmarkStart w:id="22" w:name="_Toc166139913"/>
      <w:bookmarkStart w:id="23" w:name="_Toc128229746"/>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237057793"/>
      <w:bookmarkStart w:id="25" w:name="_Toc128229304"/>
      <w:bookmarkStart w:id="26" w:name="_Toc156196472"/>
      <w:bookmarkStart w:id="27" w:name="_Toc175017344"/>
      <w:bookmarkStart w:id="28" w:name="_Toc173677399"/>
      <w:bookmarkStart w:id="29" w:name="_Toc128229747"/>
      <w:bookmarkStart w:id="30" w:name="_Toc128014297"/>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7.投标产品相关资料（合格证、医疗器械注册证或备案证、产品参数性能彩页、检验检测报告等，有则提供）</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15B6D6E"/>
    <w:rsid w:val="04C36294"/>
    <w:rsid w:val="056E5276"/>
    <w:rsid w:val="06FB539B"/>
    <w:rsid w:val="08100D66"/>
    <w:rsid w:val="0C872834"/>
    <w:rsid w:val="0CE64C8D"/>
    <w:rsid w:val="0FD01451"/>
    <w:rsid w:val="122D0B62"/>
    <w:rsid w:val="1922346A"/>
    <w:rsid w:val="1AF86BE0"/>
    <w:rsid w:val="1BDE0896"/>
    <w:rsid w:val="1CF00EFC"/>
    <w:rsid w:val="20643665"/>
    <w:rsid w:val="21426D4A"/>
    <w:rsid w:val="236757CC"/>
    <w:rsid w:val="2FC44243"/>
    <w:rsid w:val="33FB61AD"/>
    <w:rsid w:val="342C6BC9"/>
    <w:rsid w:val="376E6279"/>
    <w:rsid w:val="38A14340"/>
    <w:rsid w:val="3D8263F7"/>
    <w:rsid w:val="3F5D6CC7"/>
    <w:rsid w:val="44C5770F"/>
    <w:rsid w:val="44EF71C4"/>
    <w:rsid w:val="46762EB5"/>
    <w:rsid w:val="47112DA6"/>
    <w:rsid w:val="482D6FF9"/>
    <w:rsid w:val="496140CE"/>
    <w:rsid w:val="4AE139DB"/>
    <w:rsid w:val="4BDB0A24"/>
    <w:rsid w:val="4C31315D"/>
    <w:rsid w:val="4D240CC9"/>
    <w:rsid w:val="4F6D75ED"/>
    <w:rsid w:val="53A17F68"/>
    <w:rsid w:val="61130716"/>
    <w:rsid w:val="61143219"/>
    <w:rsid w:val="626B6216"/>
    <w:rsid w:val="67CF5844"/>
    <w:rsid w:val="69D01878"/>
    <w:rsid w:val="6A1F4430"/>
    <w:rsid w:val="6D236ACD"/>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 w:type="character" w:customStyle="1" w:styleId="23">
    <w:name w:val="font11"/>
    <w:basedOn w:val="14"/>
    <w:uiPriority w:val="0"/>
    <w:rPr>
      <w:rFonts w:hint="eastAsia" w:ascii="方正仿宋_GBK" w:hAnsi="方正仿宋_GBK" w:eastAsia="方正仿宋_GBK" w:cs="方正仿宋_GBK"/>
      <w:b/>
      <w:bCs/>
      <w:color w:val="000000"/>
      <w:sz w:val="22"/>
      <w:szCs w:val="22"/>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2024-05-23T03:17:29Z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