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项目名称：台式计算机（第二次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项目编号：BSRMYY-YNCG-2025-09001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95E2AC">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736FB06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必须为重庆市政府采购网有效注册的供应商，且具备重庆市政府采购框架协议电子采购平台台式计算机框架协议项目（编号：CQS24A01692-采购包127）入围产品的代理销售权限。(备注：院内公开询价后将作为框架协议直采依据，供应商必须为框架协议电子采购平台供应商)</w:t>
      </w:r>
    </w:p>
    <w:p w14:paraId="2FCD868B">
      <w:pPr>
        <w:pStyle w:val="17"/>
        <w:numPr>
          <w:ilvl w:val="4"/>
          <w:numId w:val="0"/>
        </w:numPr>
        <w:tabs>
          <w:tab w:val="clear" w:pos="3600"/>
        </w:tabs>
        <w:rPr>
          <w:rFonts w:hint="eastAsia"/>
          <w:lang w:eastAsia="zh-CN"/>
        </w:rPr>
      </w:pP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009"/>
        <w:gridCol w:w="1988"/>
        <w:gridCol w:w="1386"/>
        <w:gridCol w:w="1258"/>
        <w:gridCol w:w="1342"/>
      </w:tblGrid>
      <w:tr w14:paraId="43C2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8474A36">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2009" w:type="dxa"/>
            <w:noWrap w:val="0"/>
            <w:vAlign w:val="top"/>
          </w:tcPr>
          <w:p w14:paraId="78DB299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名称</w:t>
            </w:r>
          </w:p>
        </w:tc>
        <w:tc>
          <w:tcPr>
            <w:tcW w:w="1988" w:type="dxa"/>
            <w:noWrap w:val="0"/>
            <w:vAlign w:val="top"/>
          </w:tcPr>
          <w:p w14:paraId="6B2F57BF">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框架协议采购包</w:t>
            </w:r>
          </w:p>
        </w:tc>
        <w:tc>
          <w:tcPr>
            <w:tcW w:w="1386" w:type="dxa"/>
            <w:noWrap w:val="0"/>
            <w:vAlign w:val="top"/>
          </w:tcPr>
          <w:p w14:paraId="0B90BE5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限价</w:t>
            </w:r>
          </w:p>
        </w:tc>
        <w:tc>
          <w:tcPr>
            <w:tcW w:w="1258" w:type="dxa"/>
            <w:noWrap w:val="0"/>
            <w:vAlign w:val="top"/>
          </w:tcPr>
          <w:p w14:paraId="7AD04DA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数量</w:t>
            </w:r>
          </w:p>
        </w:tc>
        <w:tc>
          <w:tcPr>
            <w:tcW w:w="1342" w:type="dxa"/>
            <w:noWrap w:val="0"/>
            <w:vAlign w:val="top"/>
          </w:tcPr>
          <w:p w14:paraId="777521E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总价</w:t>
            </w:r>
          </w:p>
        </w:tc>
      </w:tr>
      <w:tr w14:paraId="6C76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3B5521C2">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包一</w:t>
            </w:r>
          </w:p>
        </w:tc>
        <w:tc>
          <w:tcPr>
            <w:tcW w:w="2009" w:type="dxa"/>
            <w:noWrap w:val="0"/>
            <w:vAlign w:val="top"/>
          </w:tcPr>
          <w:p w14:paraId="408C12F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台式计算机</w:t>
            </w:r>
          </w:p>
        </w:tc>
        <w:tc>
          <w:tcPr>
            <w:tcW w:w="1988" w:type="dxa"/>
            <w:noWrap w:val="0"/>
            <w:vAlign w:val="top"/>
          </w:tcPr>
          <w:p w14:paraId="7C4393D4">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127</w:t>
            </w:r>
          </w:p>
        </w:tc>
        <w:tc>
          <w:tcPr>
            <w:tcW w:w="1386" w:type="dxa"/>
            <w:noWrap w:val="0"/>
            <w:vAlign w:val="top"/>
          </w:tcPr>
          <w:p w14:paraId="7D9AA26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4270元</w:t>
            </w:r>
          </w:p>
        </w:tc>
        <w:tc>
          <w:tcPr>
            <w:tcW w:w="1258" w:type="dxa"/>
            <w:noWrap w:val="0"/>
            <w:vAlign w:val="top"/>
          </w:tcPr>
          <w:p w14:paraId="2DCC9D2B">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100台</w:t>
            </w:r>
          </w:p>
        </w:tc>
        <w:tc>
          <w:tcPr>
            <w:tcW w:w="1342" w:type="dxa"/>
            <w:noWrap w:val="0"/>
            <w:vAlign w:val="top"/>
          </w:tcPr>
          <w:p w14:paraId="2D307298">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427000元</w:t>
            </w:r>
          </w:p>
        </w:tc>
      </w:tr>
      <w:tr w14:paraId="314A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noWrap w:val="0"/>
            <w:vAlign w:val="top"/>
          </w:tcPr>
          <w:p w14:paraId="12BD0363">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包二</w:t>
            </w:r>
          </w:p>
        </w:tc>
        <w:tc>
          <w:tcPr>
            <w:tcW w:w="2009" w:type="dxa"/>
            <w:noWrap w:val="0"/>
            <w:vAlign w:val="top"/>
          </w:tcPr>
          <w:p w14:paraId="476858D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台式计算机</w:t>
            </w:r>
          </w:p>
        </w:tc>
        <w:tc>
          <w:tcPr>
            <w:tcW w:w="1988" w:type="dxa"/>
            <w:noWrap w:val="0"/>
            <w:vAlign w:val="top"/>
          </w:tcPr>
          <w:p w14:paraId="719D9F4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127</w:t>
            </w:r>
          </w:p>
        </w:tc>
        <w:tc>
          <w:tcPr>
            <w:tcW w:w="1386" w:type="dxa"/>
            <w:noWrap w:val="0"/>
            <w:vAlign w:val="top"/>
          </w:tcPr>
          <w:p w14:paraId="14036D0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4434元</w:t>
            </w:r>
          </w:p>
        </w:tc>
        <w:tc>
          <w:tcPr>
            <w:tcW w:w="1258" w:type="dxa"/>
            <w:noWrap w:val="0"/>
            <w:vAlign w:val="top"/>
          </w:tcPr>
          <w:p w14:paraId="28B884A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15台</w:t>
            </w:r>
          </w:p>
        </w:tc>
        <w:tc>
          <w:tcPr>
            <w:tcW w:w="1342" w:type="dxa"/>
            <w:noWrap w:val="0"/>
            <w:vAlign w:val="top"/>
          </w:tcPr>
          <w:p w14:paraId="0F81FEBA">
            <w:pPr>
              <w:keepNext w:val="0"/>
              <w:keepLines w:val="0"/>
              <w:pageBreakBefore w:val="0"/>
              <w:widowControl w:val="0"/>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66510元</w:t>
            </w:r>
          </w:p>
        </w:tc>
      </w:tr>
      <w:tr w14:paraId="691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2" w:type="dxa"/>
            <w:gridSpan w:val="4"/>
            <w:noWrap w:val="0"/>
            <w:vAlign w:val="top"/>
          </w:tcPr>
          <w:p w14:paraId="1225C20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合计</w:t>
            </w:r>
          </w:p>
        </w:tc>
        <w:tc>
          <w:tcPr>
            <w:tcW w:w="1258" w:type="dxa"/>
            <w:noWrap w:val="0"/>
            <w:vAlign w:val="top"/>
          </w:tcPr>
          <w:p w14:paraId="461ACF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115台</w:t>
            </w:r>
          </w:p>
        </w:tc>
        <w:tc>
          <w:tcPr>
            <w:tcW w:w="1342" w:type="dxa"/>
            <w:noWrap w:val="0"/>
            <w:vAlign w:val="top"/>
          </w:tcPr>
          <w:p w14:paraId="2046F09A">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righ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493510元</w:t>
            </w:r>
          </w:p>
        </w:tc>
      </w:tr>
      <w:tr w14:paraId="126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7" w:hRule="atLeast"/>
          <w:jc w:val="center"/>
        </w:trPr>
        <w:tc>
          <w:tcPr>
            <w:tcW w:w="8702" w:type="dxa"/>
            <w:gridSpan w:val="6"/>
            <w:noWrap w:val="0"/>
            <w:vAlign w:val="top"/>
          </w:tcPr>
          <w:p w14:paraId="38FD0BE9">
            <w:pPr>
              <w:keepNext w:val="0"/>
              <w:keepLines w:val="0"/>
              <w:pageBreakBefore w:val="0"/>
              <w:widowControl w:val="0"/>
              <w:tabs>
                <w:tab w:val="left" w:pos="552"/>
              </w:tabs>
              <w:kinsoku/>
              <w:wordWrap/>
              <w:overflowPunct/>
              <w:topLinePunct w:val="0"/>
              <w:autoSpaceDE/>
              <w:autoSpaceDN/>
              <w:bidi w:val="0"/>
              <w:adjustRightInd/>
              <w:snapToGrid/>
              <w:spacing w:line="480" w:lineRule="exact"/>
              <w:ind w:firstLine="0" w:firstLine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报价要求：</w:t>
            </w:r>
          </w:p>
          <w:p w14:paraId="7606FCDA">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1.报价应包括但不限于设备、配件费、运输费、安装调试费、安全文明施工费、保险费、税费、培训费以及质保期内零配件、备件更换费、维护保养费、利润以及质保期内的免费维护及各种风险等费用。因成交供应商自身原因造成漏报、少报皆由其自行承担责任，采购人不再补偿。</w:t>
            </w:r>
          </w:p>
          <w:p w14:paraId="5A086A8D">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2.投标供应商须认真阅读采购公告内容（包括更正内容），并满足项目技术与服务要求。</w:t>
            </w:r>
          </w:p>
          <w:p w14:paraId="7200DF8E">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3.必须有提供现货的能力，并确保提供货物为正品行货。</w:t>
            </w:r>
          </w:p>
          <w:p w14:paraId="46C59629">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4.报价时，应提供投标产品的详细参数清单，其内容详细程度不应低于重庆市政府采购框架协议电子采购平台台式计算机框架协议项目，编号：CQS24A01692-采购包127，包內对应产品型号的详细参数。</w:t>
            </w:r>
          </w:p>
          <w:p w14:paraId="1E43013C">
            <w:pPr>
              <w:keepNext w:val="0"/>
              <w:keepLines w:val="0"/>
              <w:pageBreakBefore w:val="0"/>
              <w:widowControl w:val="0"/>
              <w:numPr>
                <w:ilvl w:val="0"/>
                <w:numId w:val="0"/>
              </w:numPr>
              <w:tabs>
                <w:tab w:val="left" w:pos="552"/>
              </w:tabs>
              <w:kinsoku/>
              <w:wordWrap/>
              <w:overflowPunct/>
              <w:topLinePunct w:val="0"/>
              <w:autoSpaceDE/>
              <w:autoSpaceDN/>
              <w:bidi w:val="0"/>
              <w:adjustRightInd/>
              <w:snapToGrid/>
              <w:spacing w:line="480" w:lineRule="exact"/>
              <w:ind w:leftChars="0"/>
              <w:jc w:val="left"/>
              <w:textAlignment w:val="auto"/>
              <w:rPr>
                <w:rFonts w:hint="default"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5.允许供应商只对一个包进行响应或者全部响应。</w:t>
            </w:r>
          </w:p>
        </w:tc>
      </w:tr>
    </w:tbl>
    <w:p w14:paraId="50068413">
      <w:pPr>
        <w:pStyle w:val="25"/>
        <w:numPr>
          <w:ilvl w:val="0"/>
          <w:numId w:val="0"/>
        </w:numPr>
        <w:rPr>
          <w:rFonts w:hint="eastAsia" w:ascii="方正仿宋_GBK" w:hAnsi="方正仿宋_GBK" w:eastAsia="方正仿宋_GBK" w:cs="方正仿宋_GBK"/>
          <w:b/>
          <w:bCs/>
          <w:sz w:val="28"/>
          <w:szCs w:val="28"/>
          <w:lang w:eastAsia="zh-CN"/>
        </w:rPr>
      </w:pPr>
    </w:p>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技术参数：（须完全响应）</w:t>
      </w:r>
    </w:p>
    <w:p w14:paraId="55B058B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本项目分包一（100台）和包二（15台），基础要求：</w:t>
      </w:r>
    </w:p>
    <w:p w14:paraId="7825AA36">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应符合CQS24A01692-采购包127规格标准：CPU物理核数（≥）：8；CPU主频（GHz）（≥）：3；CPU支持的内存最高速率（MT/s）(≥)：3200；内存配置容量（GB）（≥）：16；固态存储容量（≥）：500GB；机械硬盘总容量（≥）：1TB；显卡类型：独立显卡；独立显卡显存容量(GB)（≥）：2；显示屏分辨率：≥1920x1080；显示屏尺寸(英寸)（≥）：23；显示屏刷新率(HZ)（≥）：75；预装操作系统：符合安全可靠测评要求的银河麒麟桌面操作系统/符合安全可靠测评的统信桌面操作系统/符合安全可靠测评要求的中科方德桌面操作系统/其他符合安全可靠测评要求的操作系统；节能产品要求：台式计算机和液晶显示器为强制节能产品，响应产品须具有有效期内的节能产品认证证书（提供认证证书复印件），且该产品的认证机构应在《市场监管总局关于发布参与实施政府采购节能产品、环境标志产品认证机构名录的公告》（2019年第16号）名录中；注：所提供产品需满足《台式计算机政府采购需求标准（2023年版）》的要求。</w:t>
      </w:r>
    </w:p>
    <w:p w14:paraId="6232B8D2">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2.核心参数：海光3350（海光C86-3G）、16GB DDR4、512GB SSD + 1TB HDD、23.8英寸显示器。</w:t>
      </w:r>
    </w:p>
    <w:p w14:paraId="11160821">
      <w:pPr>
        <w:pStyle w:val="25"/>
        <w:numPr>
          <w:ilvl w:val="0"/>
          <w:numId w:val="0"/>
        </w:numPr>
        <w:ind w:firstLine="560" w:firstLineChars="200"/>
        <w:rPr>
          <w:rFonts w:hint="eastAsia" w:ascii="方正仿宋_GBK" w:hAnsi="方正仿宋_GBK" w:eastAsia="方正仿宋_GBK" w:cs="方正仿宋_GBK"/>
          <w:b/>
          <w:bCs/>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3.差异化参数：包一（100台）无、包二（15台）要求为全高机箱产品。</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本项目最高限价包一：427000元，包二：66510元。</w:t>
      </w:r>
    </w:p>
    <w:p w14:paraId="1178A8D2">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2.</w:t>
      </w:r>
      <w:r>
        <w:rPr>
          <w:rFonts w:hint="eastAsia" w:ascii="方正仿宋_GBK" w:hAnsi="方正仿宋_GBK" w:eastAsia="方正仿宋_GBK" w:cs="方正仿宋_GBK"/>
          <w:b/>
          <w:bCs/>
          <w:color w:val="auto"/>
          <w:kern w:val="0"/>
          <w:sz w:val="28"/>
          <w:szCs w:val="28"/>
          <w:lang w:val="en-US" w:eastAsia="zh-CN"/>
        </w:rPr>
        <w:t>合同签订</w:t>
      </w:r>
    </w:p>
    <w:p w14:paraId="2D3A1D6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5320987">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配送要求</w:t>
      </w:r>
    </w:p>
    <w:p w14:paraId="132231E9">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效期要求：一年以内的全新产品，质保期按验收结算或发票开具日期起进行计算。</w:t>
      </w:r>
    </w:p>
    <w:p w14:paraId="1F5BB6C6">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送货时限要求：接到采购人通知后3个自然日内完成，特殊情况不超过7个自然日完成，交付时应提供完整的产品序列号清单与配置清单。（特殊紧急情况，框架协议直采公示后合同签订前，对电脑需求紧迫的可要求供应商先行将部分货物履行送货安装服务）</w:t>
      </w:r>
    </w:p>
    <w:p w14:paraId="0A1CFC7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4.质量保证及售后服务</w:t>
      </w:r>
    </w:p>
    <w:p w14:paraId="62FFF31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整机质量服务要求：免费服务周期（含换件和维修）3年。质保期内，免费提供操作系统与驱动程序的合规安全补丁，厂商提供固件更新及其他中高危漏洞（CVSS≥5.0）补丁时，供应商应在72小时内容通知供货人并协作处理，对非人为损坏免费更换或维修，维修为原厂配件；（供应商提供详细的维保服务方案）</w:t>
      </w:r>
    </w:p>
    <w:p w14:paraId="058055E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（2）故障响应要求30分钟电话响应，4小时到达医院处置，2个工作日解决问题，对于未能解决的问题和故障应提供可行的升级方案，并提供周转设备或更换设备；</w:t>
      </w:r>
    </w:p>
    <w:p w14:paraId="621E72E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（3）设备停产后应继续提供质量保障服务（含备品备件），服务终止时间与最后一批设备交付时间间隔不低于6年，产品停止服务时间应提前1年告知；</w:t>
      </w:r>
    </w:p>
    <w:p w14:paraId="63555D1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（4）若采购人需要，供应商需提供银河麒麟、统信、中科方得及Windows10桌面操作系统的驱动光盘或下载方式；</w:t>
      </w:r>
    </w:p>
    <w:p w14:paraId="7281220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提供的产品必须由产品生产厂家（指产品生产厂家或其负责销售、售后服务机构）负责标准售后服务。质保期内，若需更换产品的，更换的产品需与被换产品保证规格一致。若因故无法完成售后处理的，乙方承担全部售后责任，并提供产品配置规格和实际效能不低于原产品的替换产品；</w:t>
      </w:r>
    </w:p>
    <w:p w14:paraId="6B38785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（6）产品及服务应还应满足《台式计算机政府采购需求标准（2023年版）》的要求。</w:t>
      </w:r>
    </w:p>
    <w:p w14:paraId="6CABB79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0" w:rightChars="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5.验收方式</w:t>
      </w:r>
    </w:p>
    <w:p w14:paraId="32521C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 收货时由采购人按照采购招标文件、合同内容对产品参数、产品厂商合格材料、产品序列号逐项完成收货验收；最终验收需对产品兼容性、供应商服务等产品实际使用情况进行验收，最终验收的发起为产品完成安装且正常使用满一个月后由供应商向采购人提出。验收争议时由采购人邀请第三方机构检测，费用由供应商承担。</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付款方式</w:t>
      </w:r>
    </w:p>
    <w:p w14:paraId="64877C7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根据送货验收合格数量一次性</w:t>
      </w:r>
      <w:r>
        <w:rPr>
          <w:rFonts w:hint="eastAsia" w:ascii="方正仿宋_GBK" w:hAnsi="方正仿宋_GBK" w:eastAsia="方正仿宋_GBK" w:cs="方正仿宋_GBK"/>
          <w:color w:val="auto"/>
          <w:sz w:val="28"/>
          <w:szCs w:val="28"/>
          <w:lang w:val="en-US" w:eastAsia="zh-CN"/>
        </w:rPr>
        <w:t>支付产品金额的97%，剩余3%待维保服务期满且维保服务合格后支付；付款时供应商需提供合法发票、验收单、送货单等。</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投标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045DDE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（1）供应商未按采购人要求时限送货，每天按合同总额0.5%向采购人支付违约金；</w:t>
      </w:r>
    </w:p>
    <w:p w14:paraId="6ED2B08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（2）供应商未按约定向采购人提供售后服务的，按500元/次向采购人支付违约金；</w:t>
      </w:r>
    </w:p>
    <w:p w14:paraId="5B5F35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（3）验收不合格或使用中发现产品质量缺陷，采购人有权要求供应商整改，整改期限为10日，整改期限届满仍未完成的供应商需每日支付千分之三的违约金；</w:t>
      </w:r>
    </w:p>
    <w:p w14:paraId="5622779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（4）因不能按期交付或整改期限届满导致采购人解除合同，以及供应商明确表示终止合同，供应商需承担合同总金额30%的违约金，并承担对采购人造成的全部实际损失；</w:t>
      </w:r>
    </w:p>
    <w:p w14:paraId="454D8D8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（5）供应商确认知悉并遵守《重庆市政府采购框架协议征集文件清退规则》，若出现该规则第二条所列情形，采购人有权单方终止合同并追究赔偿责任，同时提请市政采中心启动清退程序。</w:t>
      </w:r>
    </w:p>
    <w:p w14:paraId="6EE1D231">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8.终止合同情形</w:t>
      </w:r>
    </w:p>
    <w:p w14:paraId="542669B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供应商未按采购人要求时限送货且超过10日的；供应商违反信息安全责任条款的；验收不合格或使用中发现产品质量缺陷后，供应商在超过整改期10日</w:t>
      </w:r>
      <w:r>
        <w:rPr>
          <w:rFonts w:hint="eastAsia" w:ascii="方正仿宋_GBK" w:hAnsi="方正仿宋_GBK" w:eastAsia="方正仿宋_GBK" w:cs="方正仿宋_GBK"/>
          <w:color w:val="auto"/>
          <w:kern w:val="0"/>
          <w:sz w:val="28"/>
          <w:szCs w:val="28"/>
          <w:lang w:val="en-US" w:eastAsia="zh-CN"/>
        </w:rPr>
        <w:t>仍</w:t>
      </w:r>
      <w:r>
        <w:rPr>
          <w:rFonts w:hint="default" w:ascii="方正仿宋_GBK" w:hAnsi="方正仿宋_GBK" w:eastAsia="方正仿宋_GBK" w:cs="方正仿宋_GBK"/>
          <w:color w:val="auto"/>
          <w:kern w:val="0"/>
          <w:sz w:val="28"/>
          <w:szCs w:val="28"/>
          <w:lang w:val="en-US" w:eastAsia="zh-CN"/>
        </w:rPr>
        <w:t>未能完成整改的；供应商廉洁违纪行为；供应商主动放弃等。</w:t>
      </w:r>
    </w:p>
    <w:p w14:paraId="68869A5B">
      <w:pPr>
        <w:keepNext w:val="0"/>
        <w:keepLines w:val="0"/>
        <w:pageBreakBefore w:val="0"/>
        <w:widowControl w:val="0"/>
        <w:numPr>
          <w:ilvl w:val="0"/>
          <w:numId w:val="6"/>
        </w:numPr>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信息安全责任条款</w:t>
      </w:r>
    </w:p>
    <w:p w14:paraId="72DA75D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default" w:ascii="方正仿宋_GBK" w:hAnsi="方正仿宋_GBK" w:eastAsia="方正仿宋_GBK" w:cs="方正仿宋_GBK"/>
          <w:color w:val="auto"/>
          <w:kern w:val="0"/>
          <w:sz w:val="28"/>
          <w:szCs w:val="28"/>
          <w:lang w:val="en-US" w:eastAsia="zh-CN"/>
        </w:rPr>
        <w:t>责任范围</w:t>
      </w:r>
    </w:p>
    <w:p w14:paraId="44EBF6F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供应商保证其提供的产品（含软硬件、驱动程序）及服务不存在已知或应知的恶意代码、未授权后门、隐蔽通道等安全缺陷，且所有操作符合《网络安全法》《数据安全法》及国家强制性标准（如GB/T 22239-2019）。</w:t>
      </w:r>
    </w:p>
    <w:p w14:paraId="0A2DBAD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default" w:ascii="方正仿宋_GBK" w:hAnsi="方正仿宋_GBK" w:eastAsia="方正仿宋_GBK" w:cs="方正仿宋_GBK"/>
          <w:color w:val="auto"/>
          <w:kern w:val="0"/>
          <w:sz w:val="28"/>
          <w:szCs w:val="28"/>
          <w:lang w:val="en-US" w:eastAsia="zh-CN"/>
        </w:rPr>
        <w:t>违约情形</w:t>
      </w:r>
    </w:p>
    <w:p w14:paraId="0D6693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因供应商产品/服务存在以下情形导致采购人发生安全事件（系统中断、数据泄露、恶意攻击扩散等），视为根本违约：</w:t>
      </w:r>
    </w:p>
    <w:p w14:paraId="2DCDEC6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故意植入恶意功能；</w:t>
      </w:r>
    </w:p>
    <w:p w14:paraId="2711902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隐瞒已知安全漏洞且未告知；</w:t>
      </w:r>
    </w:p>
    <w:p w14:paraId="318D375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③</w:t>
      </w:r>
      <w:r>
        <w:rPr>
          <w:rFonts w:hint="default" w:ascii="方正仿宋_GBK" w:hAnsi="方正仿宋_GBK" w:eastAsia="方正仿宋_GBK" w:cs="方正仿宋_GBK"/>
          <w:color w:val="auto"/>
          <w:kern w:val="0"/>
          <w:sz w:val="28"/>
          <w:szCs w:val="28"/>
          <w:lang w:val="en-US" w:eastAsia="zh-CN"/>
        </w:rPr>
        <w:t>运维操作违反国家强制性安全规范。</w:t>
      </w:r>
    </w:p>
    <w:p w14:paraId="78B513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default" w:ascii="方正仿宋_GBK" w:hAnsi="方正仿宋_GBK" w:eastAsia="方正仿宋_GBK" w:cs="方正仿宋_GBK"/>
          <w:color w:val="auto"/>
          <w:kern w:val="0"/>
          <w:sz w:val="28"/>
          <w:szCs w:val="28"/>
          <w:lang w:val="en-US" w:eastAsia="zh-CN"/>
        </w:rPr>
        <w:t>赔偿责任</w:t>
      </w:r>
    </w:p>
    <w:p w14:paraId="40CFED8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发生上述违约时，供应商须承担：</w:t>
      </w:r>
    </w:p>
    <w:p w14:paraId="4EF3F7D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基础违约金：合同总额的10%（用于覆盖应急响应、取证评估等基础费用）；</w:t>
      </w:r>
    </w:p>
    <w:p w14:paraId="79E9AD6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直接损失赔偿：采购人实际遭受的经济损失；</w:t>
      </w:r>
    </w:p>
    <w:p w14:paraId="701B977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③</w:t>
      </w:r>
      <w:r>
        <w:rPr>
          <w:rFonts w:hint="default" w:ascii="方正仿宋_GBK" w:hAnsi="方正仿宋_GBK" w:eastAsia="方正仿宋_GBK" w:cs="方正仿宋_GBK"/>
          <w:color w:val="auto"/>
          <w:kern w:val="0"/>
          <w:sz w:val="28"/>
          <w:szCs w:val="28"/>
          <w:lang w:val="en-US" w:eastAsia="zh-CN"/>
        </w:rPr>
        <w:t>惩罚性赔偿：若存在主观恶意，追加合同总额20%的赔偿。</w:t>
      </w:r>
    </w:p>
    <w:p w14:paraId="697B34B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w:t>
      </w:r>
      <w:r>
        <w:rPr>
          <w:rFonts w:hint="default" w:ascii="方正仿宋_GBK" w:hAnsi="方正仿宋_GBK" w:eastAsia="方正仿宋_GBK" w:cs="方正仿宋_GBK"/>
          <w:color w:val="auto"/>
          <w:kern w:val="0"/>
          <w:sz w:val="28"/>
          <w:szCs w:val="28"/>
          <w:lang w:val="en-US" w:eastAsia="zh-CN"/>
        </w:rPr>
        <w:t>免责与减责</w:t>
      </w:r>
    </w:p>
    <w:p w14:paraId="1899BED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①</w:t>
      </w:r>
      <w:r>
        <w:rPr>
          <w:rFonts w:hint="default" w:ascii="方正仿宋_GBK" w:hAnsi="方正仿宋_GBK" w:eastAsia="方正仿宋_GBK" w:cs="方正仿宋_GBK"/>
          <w:color w:val="auto"/>
          <w:kern w:val="0"/>
          <w:sz w:val="28"/>
          <w:szCs w:val="28"/>
          <w:lang w:val="en-US" w:eastAsia="zh-CN"/>
        </w:rPr>
        <w:t>因采购人未按安全指南使用设备（如未安装补丁、禁用安全功能）导致损失，供应商责任相应减免；</w:t>
      </w:r>
    </w:p>
    <w:p w14:paraId="25AB753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Calibri" w:hAnsi="Calibri" w:eastAsia="方正仿宋_GBK" w:cs="Calibri"/>
          <w:color w:val="auto"/>
          <w:kern w:val="0"/>
          <w:sz w:val="28"/>
          <w:szCs w:val="28"/>
          <w:lang w:val="en-US" w:eastAsia="zh-CN"/>
        </w:rPr>
        <w:t>②</w:t>
      </w:r>
      <w:r>
        <w:rPr>
          <w:rFonts w:hint="default" w:ascii="方正仿宋_GBK" w:hAnsi="方正仿宋_GBK" w:eastAsia="方正仿宋_GBK" w:cs="方正仿宋_GBK"/>
          <w:color w:val="auto"/>
          <w:kern w:val="0"/>
          <w:sz w:val="28"/>
          <w:szCs w:val="28"/>
          <w:lang w:val="en-US" w:eastAsia="zh-CN"/>
        </w:rPr>
        <w:t>开源组件或供应链上游漏洞导致的客观风险，供应商及时通报并协助处置的，可免除惩罚性赔偿。</w:t>
      </w:r>
    </w:p>
    <w:p w14:paraId="0A27148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w:t>
      </w:r>
      <w:r>
        <w:rPr>
          <w:rFonts w:hint="default" w:ascii="方正仿宋_GBK" w:hAnsi="方正仿宋_GBK" w:eastAsia="方正仿宋_GBK" w:cs="方正仿宋_GBK"/>
          <w:color w:val="auto"/>
          <w:kern w:val="0"/>
          <w:sz w:val="28"/>
          <w:szCs w:val="28"/>
          <w:lang w:val="en-US" w:eastAsia="zh-CN"/>
        </w:rPr>
        <w:t>证据规则</w:t>
      </w:r>
    </w:p>
    <w:p w14:paraId="63DEE5E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安全事件归责需由重庆市网安部门（市公安局网安总队/市委网信办）通报或国家级网络安全机构（如CNVD、CNNVD）、双方认可的第三方实验室出具鉴定报告。供应商应在收到报告后5个工作日内书面回应，逾期视为认可结论。</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11.其他要求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B0A0EC8">
      <w:pPr>
        <w:rPr>
          <w:rFonts w:hint="default" w:ascii="仿宋_GB2312" w:hAnsi="Arial" w:eastAsia="仿宋_GB2312" w:cstheme="minorBidi"/>
          <w:b/>
          <w:color w:val="auto"/>
          <w:kern w:val="2"/>
          <w:sz w:val="32"/>
          <w:szCs w:val="32"/>
          <w:lang w:val="en-US" w:eastAsia="zh-CN" w:bidi="ar-SA"/>
        </w:rPr>
      </w:pP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2C3519D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hAnsi="宋体" w:eastAsia="仿宋_GB2312" w:cs="宋体"/>
          <w:color w:val="auto"/>
          <w:kern w:val="2"/>
          <w:sz w:val="32"/>
          <w:szCs w:val="32"/>
          <w:highlight w:val="none"/>
          <w:lang w:val="en-US" w:eastAsia="zh-CN" w:bidi="ar-SA"/>
        </w:rPr>
        <w:t>1.质保期内维保服务方案</w:t>
      </w:r>
    </w:p>
    <w:p w14:paraId="3D41F623">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12.投标廉政承诺书</w:t>
      </w:r>
    </w:p>
    <w:p w14:paraId="32B9EBA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13.投标档案袋密封要求</w:t>
      </w:r>
    </w:p>
    <w:p w14:paraId="2614384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B1E3CEA">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           </w:t>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27B31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投标供应商必须为重庆市政府采购网有效注册的供应商，且具备重庆市政府采购框架协议电子采购平台台式计算机框架协议项目（编号：CQS24A01692-采购包127）入围产品的代理销售权限。</w:t>
      </w:r>
    </w:p>
    <w:p w14:paraId="76BC98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val="en-US" w:eastAsia="zh-CN"/>
        </w:rPr>
        <w:t>及联系电话</w:t>
      </w:r>
      <w:r>
        <w:rPr>
          <w:rFonts w:hint="eastAsia" w:ascii="微软雅黑" w:hAnsi="微软雅黑" w:eastAsia="微软雅黑" w:cs="___WRD_EMBED_SUB_53"/>
          <w:sz w:val="30"/>
          <w:szCs w:val="30"/>
        </w:rPr>
        <w:t>）</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B72492D">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73677399"/>
      <w:bookmarkStart w:id="2" w:name="_Toc156196472"/>
      <w:bookmarkStart w:id="3" w:name="_Toc128229747"/>
      <w:bookmarkStart w:id="4" w:name="_Toc128014297"/>
      <w:bookmarkStart w:id="5" w:name="_Toc237057793"/>
      <w:bookmarkStart w:id="6" w:name="_Toc12822930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1"/>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技术参数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7"/>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D59E1B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2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901"/>
        <w:gridCol w:w="3057"/>
        <w:gridCol w:w="2143"/>
      </w:tblGrid>
      <w:tr w14:paraId="7AB8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8C3F691">
            <w:pPr>
              <w:spacing w:line="594" w:lineRule="exact"/>
              <w:jc w:val="center"/>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序号</w:t>
            </w: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64FE5FC">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57" w:type="dxa"/>
            <w:tcBorders>
              <w:top w:val="single" w:color="auto" w:sz="4" w:space="0"/>
              <w:left w:val="single" w:color="auto" w:sz="4" w:space="0"/>
              <w:bottom w:val="single" w:color="auto" w:sz="4" w:space="0"/>
              <w:right w:val="single" w:color="auto" w:sz="4" w:space="0"/>
            </w:tcBorders>
            <w:noWrap w:val="0"/>
            <w:vAlign w:val="center"/>
          </w:tcPr>
          <w:p w14:paraId="4365F26C">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9F9B7EC">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373144ED">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C2D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F46AF5F">
            <w:pPr>
              <w:spacing w:line="594" w:lineRule="exact"/>
              <w:rPr>
                <w:rFonts w:hint="eastAsia"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30C5FD5">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E75ACCC">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C7702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1A4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667FB44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9F183A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1D7BACF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35BAC01">
            <w:pPr>
              <w:spacing w:line="594" w:lineRule="exact"/>
              <w:ind w:firstLine="556" w:firstLineChars="200"/>
              <w:rPr>
                <w:rFonts w:hint="eastAsia" w:ascii="微软雅黑" w:hAnsi="微软雅黑" w:eastAsia="微软雅黑"/>
                <w:sz w:val="30"/>
                <w:szCs w:val="30"/>
              </w:rPr>
            </w:pPr>
          </w:p>
        </w:tc>
      </w:tr>
      <w:tr w14:paraId="4FDE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E5AB7AB">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6B440BFB">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1128EB1">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D3FDC8F">
            <w:pPr>
              <w:spacing w:line="594" w:lineRule="exact"/>
              <w:ind w:firstLine="556" w:firstLineChars="200"/>
              <w:rPr>
                <w:rFonts w:hint="eastAsia" w:ascii="微软雅黑" w:hAnsi="微软雅黑" w:eastAsia="微软雅黑"/>
                <w:sz w:val="30"/>
                <w:szCs w:val="30"/>
              </w:rPr>
            </w:pPr>
          </w:p>
        </w:tc>
      </w:tr>
      <w:tr w14:paraId="55F4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9C3314A">
            <w:pPr>
              <w:spacing w:line="594" w:lineRule="exact"/>
              <w:rPr>
                <w:rFonts w:hint="default"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4EAC457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01453F44">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C89422C">
            <w:pPr>
              <w:spacing w:line="594" w:lineRule="exact"/>
              <w:ind w:firstLine="556" w:firstLineChars="200"/>
              <w:rPr>
                <w:rFonts w:hint="eastAsia" w:ascii="微软雅黑" w:hAnsi="微软雅黑" w:eastAsia="微软雅黑"/>
                <w:sz w:val="30"/>
                <w:szCs w:val="30"/>
              </w:rPr>
            </w:pPr>
          </w:p>
        </w:tc>
      </w:tr>
      <w:tr w14:paraId="799A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8933946">
            <w:pPr>
              <w:spacing w:line="594" w:lineRule="exact"/>
              <w:rPr>
                <w:rFonts w:hint="eastAsia" w:ascii="微软雅黑" w:hAnsi="微软雅黑" w:eastAsia="微软雅黑" w:cstheme="minorBidi"/>
                <w:kern w:val="2"/>
                <w:sz w:val="30"/>
                <w:szCs w:val="30"/>
                <w:lang w:val="en-US" w:eastAsia="zh-CN" w:bidi="ar-SA"/>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68EB14D4">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325E08FA">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63BD0E2">
            <w:pPr>
              <w:spacing w:line="594" w:lineRule="exact"/>
              <w:ind w:firstLine="556" w:firstLineChars="200"/>
              <w:rPr>
                <w:rFonts w:hint="eastAsia" w:ascii="微软雅黑" w:hAnsi="微软雅黑" w:eastAsia="微软雅黑"/>
                <w:sz w:val="30"/>
                <w:szCs w:val="30"/>
              </w:rPr>
            </w:pPr>
          </w:p>
        </w:tc>
      </w:tr>
      <w:tr w14:paraId="413B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0AE89C78">
            <w:pPr>
              <w:spacing w:line="594" w:lineRule="exact"/>
              <w:rPr>
                <w:rFonts w:hint="eastAsia" w:ascii="微软雅黑" w:hAnsi="微软雅黑" w:eastAsia="微软雅黑"/>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DAA2140">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34C6751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13E5F4">
            <w:pPr>
              <w:spacing w:line="594" w:lineRule="exact"/>
              <w:ind w:firstLine="556" w:firstLineChars="200"/>
              <w:rPr>
                <w:rFonts w:hint="eastAsia" w:ascii="微软雅黑" w:hAnsi="微软雅黑" w:eastAsia="微软雅黑"/>
                <w:sz w:val="30"/>
                <w:szCs w:val="30"/>
              </w:rPr>
            </w:pPr>
          </w:p>
        </w:tc>
      </w:tr>
      <w:tr w14:paraId="72EA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743AF65D">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537604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79AFA518">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29A82">
            <w:pPr>
              <w:spacing w:line="594" w:lineRule="exact"/>
              <w:ind w:firstLine="556" w:firstLineChars="200"/>
              <w:rPr>
                <w:rFonts w:hint="eastAsia" w:ascii="微软雅黑" w:hAnsi="微软雅黑" w:eastAsia="微软雅黑"/>
                <w:sz w:val="30"/>
                <w:szCs w:val="30"/>
              </w:rPr>
            </w:pPr>
          </w:p>
        </w:tc>
      </w:tr>
      <w:tr w14:paraId="2678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43EE9BE6">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0CE1A22F">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2A6455B5">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48DDD92">
            <w:pPr>
              <w:spacing w:line="594" w:lineRule="exact"/>
              <w:ind w:firstLine="556" w:firstLineChars="200"/>
              <w:rPr>
                <w:rFonts w:hint="eastAsia" w:ascii="微软雅黑" w:hAnsi="微软雅黑" w:eastAsia="微软雅黑"/>
                <w:sz w:val="30"/>
                <w:szCs w:val="30"/>
              </w:rPr>
            </w:pPr>
          </w:p>
        </w:tc>
      </w:tr>
      <w:tr w14:paraId="229E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1D02E2A3">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5F9813DA">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589A48C2">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1AD7031">
            <w:pPr>
              <w:spacing w:line="594" w:lineRule="exact"/>
              <w:ind w:firstLine="556" w:firstLineChars="200"/>
              <w:rPr>
                <w:rFonts w:hint="eastAsia" w:ascii="微软雅黑" w:hAnsi="微软雅黑" w:eastAsia="微软雅黑"/>
                <w:sz w:val="30"/>
                <w:szCs w:val="30"/>
              </w:rPr>
            </w:pPr>
          </w:p>
        </w:tc>
      </w:tr>
      <w:tr w14:paraId="4229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3" w:type="dxa"/>
            <w:tcBorders>
              <w:top w:val="single" w:color="auto" w:sz="4" w:space="0"/>
              <w:left w:val="single" w:color="auto" w:sz="4" w:space="0"/>
              <w:bottom w:val="single" w:color="auto" w:sz="4" w:space="0"/>
              <w:right w:val="single" w:color="auto" w:sz="4" w:space="0"/>
            </w:tcBorders>
            <w:noWrap w:val="0"/>
            <w:vAlign w:val="center"/>
          </w:tcPr>
          <w:p w14:paraId="2FA884A0">
            <w:pPr>
              <w:spacing w:line="594" w:lineRule="exact"/>
              <w:rPr>
                <w:rFonts w:hint="default" w:ascii="微软雅黑" w:hAnsi="微软雅黑" w:eastAsia="微软雅黑" w:cs="宋体"/>
                <w:sz w:val="30"/>
                <w:szCs w:val="30"/>
                <w:lang w:val="en-US" w:eastAsia="zh-CN"/>
              </w:rPr>
            </w:pPr>
          </w:p>
        </w:tc>
        <w:tc>
          <w:tcPr>
            <w:tcW w:w="2901" w:type="dxa"/>
            <w:tcBorders>
              <w:top w:val="single" w:color="auto" w:sz="4" w:space="0"/>
              <w:left w:val="single" w:color="auto" w:sz="4" w:space="0"/>
              <w:bottom w:val="single" w:color="auto" w:sz="4" w:space="0"/>
              <w:right w:val="single" w:color="auto" w:sz="4" w:space="0"/>
            </w:tcBorders>
            <w:noWrap w:val="0"/>
            <w:vAlign w:val="center"/>
          </w:tcPr>
          <w:p w14:paraId="358E7519">
            <w:pPr>
              <w:spacing w:line="594" w:lineRule="exact"/>
              <w:ind w:firstLine="556" w:firstLineChars="200"/>
              <w:rPr>
                <w:rFonts w:hint="eastAsia" w:ascii="微软雅黑" w:hAnsi="微软雅黑" w:eastAsia="微软雅黑"/>
                <w:sz w:val="30"/>
                <w:szCs w:val="30"/>
              </w:rPr>
            </w:pPr>
          </w:p>
        </w:tc>
        <w:tc>
          <w:tcPr>
            <w:tcW w:w="3057" w:type="dxa"/>
            <w:tcBorders>
              <w:top w:val="single" w:color="auto" w:sz="4" w:space="0"/>
              <w:left w:val="single" w:color="auto" w:sz="4" w:space="0"/>
              <w:bottom w:val="single" w:color="auto" w:sz="4" w:space="0"/>
              <w:right w:val="single" w:color="auto" w:sz="4" w:space="0"/>
            </w:tcBorders>
            <w:noWrap w:val="0"/>
            <w:vAlign w:val="center"/>
          </w:tcPr>
          <w:p w14:paraId="14D99734">
            <w:pPr>
              <w:spacing w:line="594" w:lineRule="exact"/>
              <w:ind w:firstLine="556" w:firstLineChars="200"/>
              <w:rPr>
                <w:rFonts w:hint="eastAsia" w:ascii="微软雅黑" w:hAnsi="微软雅黑" w:eastAsia="微软雅黑"/>
                <w:sz w:val="30"/>
                <w:szCs w:val="30"/>
              </w:rPr>
            </w:pP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1E5C9D">
            <w:pPr>
              <w:spacing w:line="594" w:lineRule="exact"/>
              <w:ind w:firstLine="556" w:firstLineChars="200"/>
              <w:rPr>
                <w:rFonts w:hint="eastAsia" w:ascii="微软雅黑" w:hAnsi="微软雅黑" w:eastAsia="微软雅黑"/>
                <w:sz w:val="30"/>
                <w:szCs w:val="30"/>
              </w:rPr>
            </w:pPr>
          </w:p>
        </w:tc>
      </w:tr>
    </w:tbl>
    <w:p w14:paraId="71CA1B76">
      <w:pPr>
        <w:spacing w:line="594" w:lineRule="exact"/>
        <w:ind w:firstLine="556" w:firstLineChars="200"/>
        <w:rPr>
          <w:rFonts w:hint="eastAsia" w:ascii="微软雅黑" w:hAnsi="微软雅黑" w:eastAsia="微软雅黑"/>
          <w:sz w:val="30"/>
          <w:szCs w:val="30"/>
        </w:rPr>
      </w:pPr>
    </w:p>
    <w:p w14:paraId="54498A1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27916D39">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768A5AA5">
      <w:pPr>
        <w:pStyle w:val="5"/>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2F89D56C">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11D5AD35">
      <w:pPr>
        <w:rPr>
          <w:rFonts w:hint="eastAsia" w:ascii="仿宋_GB2312" w:eastAsia="仿宋_GB2312"/>
          <w:b/>
          <w:snapToGrid w:val="0"/>
          <w:color w:val="auto"/>
          <w:kern w:val="0"/>
          <w:sz w:val="28"/>
          <w:szCs w:val="28"/>
          <w:lang w:val="en-US" w:eastAsia="zh-CN"/>
        </w:rPr>
      </w:pP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6826117">
      <w:pPr>
        <w:pStyle w:val="5"/>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十一、质保期内维保服务方案</w:t>
      </w:r>
    </w:p>
    <w:p w14:paraId="5EBF2F28">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br w:type="page"/>
      </w:r>
    </w:p>
    <w:p w14:paraId="554E605E">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十二、投标廉政承诺书</w:t>
      </w:r>
    </w:p>
    <w:p w14:paraId="4E7AAE8B">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5"/>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十三、投标档案袋密封要求（务必密封严实，密封不严采购人有权拒绝拆封）</w:t>
      </w:r>
    </w:p>
    <w:p w14:paraId="49EE06E7">
      <w:pPr>
        <w:rPr>
          <w:rFonts w:hint="eastAsia" w:ascii="仿宋_GB2312" w:hAnsi="宋体" w:eastAsia="仿宋_GB2312"/>
          <w:sz w:val="24"/>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ragraph">
              <wp:posOffset>3802380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inline distT="0" distB="0" distL="114300" distR="114300">
            <wp:extent cx="2736215" cy="3569970"/>
            <wp:effectExtent l="0" t="0" r="10795" b="381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654AE"/>
    <w:multiLevelType w:val="singleLevel"/>
    <w:tmpl w:val="962654AE"/>
    <w:lvl w:ilvl="0" w:tentative="0">
      <w:start w:val="9"/>
      <w:numFmt w:val="decimal"/>
      <w:lvlText w:val="%1."/>
      <w:lvlJc w:val="left"/>
      <w:pPr>
        <w:tabs>
          <w:tab w:val="left" w:pos="312"/>
        </w:tabs>
      </w:pPr>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B3AE39EE"/>
    <w:multiLevelType w:val="singleLevel"/>
    <w:tmpl w:val="B3AE39EE"/>
    <w:lvl w:ilvl="0" w:tentative="0">
      <w:start w:val="1"/>
      <w:numFmt w:val="decimal"/>
      <w:pStyle w:val="27"/>
      <w:suff w:val="nothing"/>
      <w:lvlText w:val="%1．"/>
      <w:lvlJc w:val="left"/>
      <w:pPr>
        <w:ind w:left="-24" w:firstLine="1134"/>
      </w:pPr>
      <w:rPr>
        <w:rFonts w:hint="default" w:ascii="Times New Roman" w:hAnsi="Times New Roman" w:eastAsia="方正仿宋_GBK"/>
        <w:sz w:val="32"/>
        <w:szCs w:val="32"/>
      </w:rPr>
    </w:lvl>
  </w:abstractNum>
  <w:abstractNum w:abstractNumId="3">
    <w:nsid w:val="166941AD"/>
    <w:multiLevelType w:val="singleLevel"/>
    <w:tmpl w:val="166941AD"/>
    <w:lvl w:ilvl="0" w:tentative="0">
      <w:start w:val="3"/>
      <w:numFmt w:val="decimal"/>
      <w:lvlText w:val="%1."/>
      <w:lvlJc w:val="left"/>
      <w:pPr>
        <w:tabs>
          <w:tab w:val="left" w:pos="312"/>
        </w:tabs>
      </w:pPr>
    </w:lvl>
  </w:abstractNum>
  <w:abstractNum w:abstractNumId="4">
    <w:nsid w:val="1A9D7268"/>
    <w:multiLevelType w:val="singleLevel"/>
    <w:tmpl w:val="1A9D7268"/>
    <w:lvl w:ilvl="0" w:tentative="0">
      <w:start w:val="1"/>
      <w:numFmt w:val="decimal"/>
      <w:suff w:val="nothing"/>
      <w:lvlText w:val="（%1）"/>
      <w:lvlJc w:val="left"/>
    </w:lvl>
  </w:abstractNum>
  <w:abstractNum w:abstractNumId="5">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2CB4DE4"/>
    <w:rsid w:val="03F96AEC"/>
    <w:rsid w:val="05212DAC"/>
    <w:rsid w:val="056E5276"/>
    <w:rsid w:val="06FB539B"/>
    <w:rsid w:val="07F82B6D"/>
    <w:rsid w:val="09592A58"/>
    <w:rsid w:val="09773498"/>
    <w:rsid w:val="0A9058B5"/>
    <w:rsid w:val="0C872834"/>
    <w:rsid w:val="0C974041"/>
    <w:rsid w:val="0CE64C8D"/>
    <w:rsid w:val="0DB77CB8"/>
    <w:rsid w:val="0DC82D83"/>
    <w:rsid w:val="0FD01451"/>
    <w:rsid w:val="122D0B62"/>
    <w:rsid w:val="12586ED9"/>
    <w:rsid w:val="12F13D99"/>
    <w:rsid w:val="133D5E0A"/>
    <w:rsid w:val="14A266B7"/>
    <w:rsid w:val="15102F47"/>
    <w:rsid w:val="17812CB3"/>
    <w:rsid w:val="1922346A"/>
    <w:rsid w:val="19A3638A"/>
    <w:rsid w:val="19E420C7"/>
    <w:rsid w:val="1A4B64EA"/>
    <w:rsid w:val="1AAE2C67"/>
    <w:rsid w:val="1AF86BE0"/>
    <w:rsid w:val="1B3306B6"/>
    <w:rsid w:val="1BDE0896"/>
    <w:rsid w:val="1BFD32C1"/>
    <w:rsid w:val="1C30559C"/>
    <w:rsid w:val="1CF00EFC"/>
    <w:rsid w:val="1E2702D2"/>
    <w:rsid w:val="1F9D6C76"/>
    <w:rsid w:val="20813775"/>
    <w:rsid w:val="20D0616C"/>
    <w:rsid w:val="21426D4A"/>
    <w:rsid w:val="22BC351E"/>
    <w:rsid w:val="23595B43"/>
    <w:rsid w:val="236757CC"/>
    <w:rsid w:val="27C26895"/>
    <w:rsid w:val="293430F8"/>
    <w:rsid w:val="2AA1282F"/>
    <w:rsid w:val="2BE93BC2"/>
    <w:rsid w:val="2C3529EE"/>
    <w:rsid w:val="2DC67626"/>
    <w:rsid w:val="2FC44243"/>
    <w:rsid w:val="2FC822B0"/>
    <w:rsid w:val="308B51BC"/>
    <w:rsid w:val="31092EA8"/>
    <w:rsid w:val="31101680"/>
    <w:rsid w:val="31181F49"/>
    <w:rsid w:val="317A3A13"/>
    <w:rsid w:val="32456B21"/>
    <w:rsid w:val="3255612A"/>
    <w:rsid w:val="32BF16AD"/>
    <w:rsid w:val="33D457D2"/>
    <w:rsid w:val="33FB61AD"/>
    <w:rsid w:val="342C6BC9"/>
    <w:rsid w:val="35AA7798"/>
    <w:rsid w:val="36FE26AA"/>
    <w:rsid w:val="37153A06"/>
    <w:rsid w:val="376E6279"/>
    <w:rsid w:val="38A14340"/>
    <w:rsid w:val="3B176CB0"/>
    <w:rsid w:val="3B960975"/>
    <w:rsid w:val="3C712181"/>
    <w:rsid w:val="3D271A63"/>
    <w:rsid w:val="3D774A2E"/>
    <w:rsid w:val="3D8263F7"/>
    <w:rsid w:val="3D923789"/>
    <w:rsid w:val="3E183C7E"/>
    <w:rsid w:val="3F1B1432"/>
    <w:rsid w:val="41291BCA"/>
    <w:rsid w:val="416A03A1"/>
    <w:rsid w:val="43AD35EA"/>
    <w:rsid w:val="44182362"/>
    <w:rsid w:val="44C5770F"/>
    <w:rsid w:val="44EF71C4"/>
    <w:rsid w:val="46C37C31"/>
    <w:rsid w:val="475D7492"/>
    <w:rsid w:val="482D6FF9"/>
    <w:rsid w:val="488F71B8"/>
    <w:rsid w:val="496140CE"/>
    <w:rsid w:val="4A54660D"/>
    <w:rsid w:val="4AE139DB"/>
    <w:rsid w:val="4BDB0A24"/>
    <w:rsid w:val="4C31315D"/>
    <w:rsid w:val="4CF578A9"/>
    <w:rsid w:val="4D056715"/>
    <w:rsid w:val="4D0963D7"/>
    <w:rsid w:val="4E4230CD"/>
    <w:rsid w:val="4F391F54"/>
    <w:rsid w:val="4F461854"/>
    <w:rsid w:val="4F55367B"/>
    <w:rsid w:val="4F6D75ED"/>
    <w:rsid w:val="4FF80EFA"/>
    <w:rsid w:val="50AA1DA8"/>
    <w:rsid w:val="51352B6B"/>
    <w:rsid w:val="513D2675"/>
    <w:rsid w:val="51DF78D8"/>
    <w:rsid w:val="52467D88"/>
    <w:rsid w:val="53A17F68"/>
    <w:rsid w:val="53DB6C22"/>
    <w:rsid w:val="54EA606D"/>
    <w:rsid w:val="5727153F"/>
    <w:rsid w:val="589F44FC"/>
    <w:rsid w:val="5A23530B"/>
    <w:rsid w:val="5D730B55"/>
    <w:rsid w:val="5E932E93"/>
    <w:rsid w:val="5FA4498B"/>
    <w:rsid w:val="60C7505C"/>
    <w:rsid w:val="61130716"/>
    <w:rsid w:val="61143219"/>
    <w:rsid w:val="61707CCC"/>
    <w:rsid w:val="61CB0404"/>
    <w:rsid w:val="62282CBB"/>
    <w:rsid w:val="626B6216"/>
    <w:rsid w:val="62B67B8B"/>
    <w:rsid w:val="6345469F"/>
    <w:rsid w:val="63AA7BB7"/>
    <w:rsid w:val="64AD4E34"/>
    <w:rsid w:val="668F5CC4"/>
    <w:rsid w:val="66A1740A"/>
    <w:rsid w:val="67CF5844"/>
    <w:rsid w:val="68D05B46"/>
    <w:rsid w:val="69D01878"/>
    <w:rsid w:val="69E37B5F"/>
    <w:rsid w:val="6A1F4430"/>
    <w:rsid w:val="6D38732A"/>
    <w:rsid w:val="6DD05A39"/>
    <w:rsid w:val="6EC6360F"/>
    <w:rsid w:val="713118C3"/>
    <w:rsid w:val="71C02C3F"/>
    <w:rsid w:val="72BB5C94"/>
    <w:rsid w:val="732B3BA9"/>
    <w:rsid w:val="738E72B4"/>
    <w:rsid w:val="753C41E7"/>
    <w:rsid w:val="75CC5481"/>
    <w:rsid w:val="76F43793"/>
    <w:rsid w:val="770E4D00"/>
    <w:rsid w:val="78894B3A"/>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三级标题"/>
    <w:basedOn w:val="1"/>
    <w:link w:val="28"/>
    <w:qFormat/>
    <w:uiPriority w:val="0"/>
    <w:pPr>
      <w:numPr>
        <w:ilvl w:val="0"/>
        <w:numId w:val="3"/>
      </w:numPr>
      <w:spacing w:line="640" w:lineRule="exact"/>
      <w:ind w:firstLine="640" w:firstLineChars="200"/>
      <w:jc w:val="left"/>
      <w:outlineLvl w:val="2"/>
    </w:pPr>
    <w:rPr>
      <w:rFonts w:hint="eastAsia" w:cs="Times New Roman"/>
      <w:b/>
    </w:rPr>
  </w:style>
  <w:style w:type="character" w:customStyle="1" w:styleId="28">
    <w:name w:val="三级标题 Char"/>
    <w:link w:val="27"/>
    <w:qFormat/>
    <w:uiPriority w:val="0"/>
    <w:rPr>
      <w:rFonts w:hint="eastAsia"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85</Words>
  <Characters>106</Characters>
  <Lines>0</Lines>
  <Paragraphs>0</Paragraphs>
  <TotalTime>34</TotalTime>
  <ScaleCrop>false</ScaleCrop>
  <LinksUpToDate>false</LinksUpToDate>
  <CharactersWithSpaces>106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2025-09-10T07:48:45Z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60221D35CA464352A1DAF8FBC8A2BA09_13</vt:lpwstr>
  </property>
  <property fmtid="{D5CDD505-2E9C-101B-9397-08002B2CF9AE}" pid="4" name="KSOTemplateDocerSaveRecord">
    <vt:lpwstr>eyJoZGlkIjoiYWVkNzRiOTVkNTlhNmQ2MGNiOGJkNDkyY2JhZGNhMzciLCJ1c2VySWQiOiI3MjAzMTY0ODgifQ==</vt:lpwstr>
  </property>
</Properties>
</file>