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项目名称：2024年期刊订阅及临床科室重点需求图书</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bookmarkStart w:id="31" w:name="_GoBack"/>
      <w:bookmarkEnd w:id="31"/>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3"/>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3"/>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firstLine="320" w:firstLineChars="100"/>
        <w:rPr>
          <w:rFonts w:hint="default"/>
          <w:lang w:val="en-US" w:eastAsia="zh-CN"/>
        </w:rPr>
      </w:pPr>
      <w:r>
        <w:rPr>
          <w:rFonts w:hint="eastAsia" w:ascii="仿宋_GB2312" w:eastAsia="仿宋_GB2312" w:cs="宋体"/>
          <w:color w:val="auto"/>
          <w:sz w:val="32"/>
          <w:szCs w:val="32"/>
          <w:lang w:val="en-US" w:eastAsia="zh-CN"/>
        </w:rPr>
        <w:t>7.</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6"/>
        <w:jc w:val="center"/>
        <w:rPr>
          <w:rFonts w:hint="default"/>
          <w:lang w:val="en-US" w:eastAsia="zh-CN"/>
        </w:rPr>
      </w:pPr>
      <w:r>
        <w:rPr>
          <w:rFonts w:hint="eastAsia" w:ascii="仿宋" w:hAnsi="仿宋" w:eastAsia="仿宋" w:cs="仿宋"/>
          <w:b/>
          <w:bCs/>
          <w:color w:val="auto"/>
          <w:sz w:val="36"/>
          <w:szCs w:val="24"/>
          <w:lang w:val="en-US" w:eastAsia="zh-CN"/>
        </w:rPr>
        <w:t>报价表</w:t>
      </w:r>
    </w:p>
    <w:tbl>
      <w:tblPr>
        <w:tblStyle w:val="12"/>
        <w:tblW w:w="5466" w:type="pct"/>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03"/>
        <w:gridCol w:w="2131"/>
        <w:gridCol w:w="2043"/>
        <w:gridCol w:w="899"/>
        <w:gridCol w:w="900"/>
        <w:gridCol w:w="1146"/>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511"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1937" w:type="pct"/>
            <w:gridSpan w:val="2"/>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产品技术要求（须完全响应）</w:t>
            </w:r>
          </w:p>
        </w:tc>
        <w:tc>
          <w:tcPr>
            <w:tcW w:w="417"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417"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531"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限价</w:t>
            </w:r>
          </w:p>
        </w:tc>
        <w:tc>
          <w:tcPr>
            <w:tcW w:w="715" w:type="pct"/>
            <w:vAlign w:val="center"/>
          </w:tcPr>
          <w:p>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w:t>
            </w:r>
          </w:p>
        </w:tc>
        <w:tc>
          <w:tcPr>
            <w:tcW w:w="511"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2024年期刊订阅</w:t>
            </w: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中华内科杂志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28878元</w:t>
            </w: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中国实用内科杂志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年价216元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中华传染病杂志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中华结核和呼吸杂志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年价600元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中华心血管病杂志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中华血液学杂志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中华消化杂志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中华消化内镜杂志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中华内分泌代谢杂志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年价456元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中国现代神经疾病杂志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中华神经科杂志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中华肿瘤杂志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中华普通外科杂志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中国实用外科杂志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年价216元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中华泌尿外科杂志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中华肝胆外科杂志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中华胃肠外科杂志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中华神经外科杂志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中华胸心血管外科杂志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中华创伤杂志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中华创伤骨科杂志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中华骨科杂志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年价720元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中华手外科杂志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中华肾脏病杂志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中华麻醉学杂志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中国感染控制杂志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中华妇产科杂志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中华儿科杂志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年价540元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临床儿科杂志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实用放射学杂志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中华放射学杂志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年价600元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中华超声影像学杂志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诊断病理学杂志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年价336元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临床检验杂志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年价144元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实用疼痛学杂志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中华皮肤科杂志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中华耳鼻咽喉头颈外科杂志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中华眼科杂志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中华口腔医学杂志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年价540元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中国数字医学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针灸临床杂志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中华物理医学与康复杂志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中医杂志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年价960元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中华临床营养杂志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中华健康管理学杂志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中华流行病学杂志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中华老年医学杂志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中华急诊医学杂志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中华医学教育探索杂志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中华护理教育</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中华全科医学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中华医学科研管理杂志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年价150元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中华糖尿病杂志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年价420元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中国超声医学杂志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年价264元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中华精神科杂志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年价360元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中国神经精神疾病杂志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年价216元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心理学报</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年价540元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心理科学进展</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年价540元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中国全科医学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年价1080元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中华全科医师杂志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中国实用护理杂志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旬刊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订购全年共36册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年价900元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中国护理管理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年价312元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中华护理杂志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年价600元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中华现代护理杂志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旬刊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订购全年共36册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年价972元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护理研究</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年价600元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护理学杂志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年价480元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现代临床护理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年价84元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当代护士</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上旬刊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当代护士</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中旬刊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当代护士</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下旬刊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年价180元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护士进修杂志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军事护理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年价216元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护理学报</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半月刊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订购全年共24册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中华急危重症护理杂志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双月刊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订购全年共6册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年价240元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中国毕业后医学教育</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月刊</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订购全年共12册</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年价300元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w:t>
            </w:r>
          </w:p>
        </w:tc>
        <w:tc>
          <w:tcPr>
            <w:tcW w:w="511"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临床科室重点需求图书</w:t>
            </w: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心血管疾病影像图谱</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302.1元</w:t>
            </w:r>
          </w:p>
        </w:tc>
        <w:tc>
          <w:tcPr>
            <w:tcW w:w="531" w:type="pct"/>
            <w:vMerge w:val="restar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15999.73元</w:t>
            </w: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 手腕肘外科 分册（第二版）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678.3元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脊柱内镜诊疗技术</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人卫出版社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235.6元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多发伤病例精选</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303.05元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人工髋关节翻修临床实践与思考</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134.3元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皮瓣切取入路图解</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168.3元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骨科临床护理思维与实践</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人卫出版社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83.3元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心血管内科新医师手册（第四版）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化学工业出版社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74.8元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关节镜手术解剖图谱</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山东科学技术出版社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127.5元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社区营养与健康（基层卫生培训十三五规划教材）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46.55元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人体解剖彩色图谱 第3三版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83.6元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基层合理用药与管理/王育琴/基层卫生培训十三五 规划教材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83.6元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实用儿童保健学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吉林科学技术出版社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55.25元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全科医学案例解析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49.3元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睡眠障碍病例集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45.6元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精神科合理用药手册</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江苏凤凰科学技术出版社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41.65元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社区中医适宜技术</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中国中医药出版社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74.1元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日间手术管理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132.05元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医疗质量持续改进案例集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科学技术文献出版社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159.6元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全膝关节置换术</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辽宁科学技术出版社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160.65元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全科医学科诊疗常规-临床医疗护理常规-2012年版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中国医药科技出版社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140.25元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图解膝关节置换手术操作与技巧</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219.3元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骨科手术入路图解</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210.8元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DRGs疾病与手术操作编码和报告指南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山西科学技术出版社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189.05元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奈特人体解剖学彩色图谱 第8版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311.6元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皮瓣外科学 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338.3元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社区精神卫生</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49.4元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全科医生科研方法-第2版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55.1元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社区康复适宜技术</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64.6元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基层实践基地教学管理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29.75元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常见慢性疾病社区临床路径</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57元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社区养老服务指导</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45.6元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社区卫生信息化应用与管理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33.25元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全科医生基层实践</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31.45元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临床急救医学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102.6元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社区预防</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40.8元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全科医学师资培训指导用书-第2版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41.65元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骨科常用护理与康复技术</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化学工业出版社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57.8元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实用关节镜手术学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人卫出版社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297.5元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医疗保障基金结算清单应用指南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186.15元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康复治疗指南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87.4元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不安腿综合征(第2版)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108.8元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心血管介入治疗高级培训教程</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93.1元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陈新谦新编药物学（第18版）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188.1元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老年睡眠医学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117.3元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社区重症识别与紧急处理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34.2元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认知疗法：进阶与挑战</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中国轻工业出版社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53.2元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袖珍实用全科医生手册（第二版）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中国医药科技出版社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33.15元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睡眠技术规范化培训教程</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56.05元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镇静催眠药临床使用指南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21.25元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WIESEL骨科手术学-脊柱外科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278.8元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WIESEL骨科手术学-创伤外科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363.8元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WIESEL骨科手术学-骨肿瘤外科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338.3元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WIESEL骨科手术学-肩肘外科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397.8元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WIESEL骨科手术学-关节重建外科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278.8元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WIESEL骨科手术学-运动医学</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508.3元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WIESEL骨科手术学-足踝外科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593.3元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WIESEL骨科手术学-小儿骨科</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678.3元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Python编程快速上手 让繁琐工作自动化(第2版)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人民邮电出版社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75.65元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临床诊疗案例分析丛书:麻醉学临床诊疗案例分析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天津科学技术出版社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119元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护理科研及论文写作指导</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辽宁科学技术出版社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49.3元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介入心脏病学：从理论到实践</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423.3元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Gregory 儿科麻醉学(第6版)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508.3元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外周神经阻滞与超声介入解剖(第3版)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442元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全膝关节翻修术：诊断、评估与治疗</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北京大学医学出版社有限公司</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153元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护理一本通丛书：护理科研与论文写作一本通</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中国医药科技出版社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38.25元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运动医学下肢</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辽宁科学技术出版社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339.15元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Python编程 从入门到实践(第3版)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人民邮电出版社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93.33元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麻醉护理工作手册</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72.25元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实用内科学第16版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508.3元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问题导向易学“医”用-医院运用PDCA  持续改进案例集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科学技术文献出版社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217.6元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麻醉专业住院医师规范化培训教学查房</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科学技术文献出版社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57.8元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SPSS软件应用与实践</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49.3元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经食管超声心动图实用技术(第3版)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355.3元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成人心脏外科学(第5版)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508.3元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冠状动脉造影读片技巧图解：正常及异常造影</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127.5元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Hensley 心胸麻醉学(第6版)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中国科学技术出版社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253.3元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护理不良事件与案例分析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中国医药科技出版社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50.15元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住院医师规范化培训全科医学科示范案例</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上海交通大学出版社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159.8元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麻醉科常见急危重症抢救流程与解析</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108.8元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手术室医疗设备管理与使用</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108.8元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中华护理学会专科护士培训教材·手术室专科护理</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67.15元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围术期会诊手册(第3版)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北京大学医学出版社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72.25元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护理论文写作大全</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52.7元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痴呆及认知障碍神经心理测量量表手册第二版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科学出版社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85元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循序渐进用好血管内超声安全地通过血管内超声</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天津科技翻译出版有限公司</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159.8元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医学科研题设计、申报与实施(第3版)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75.65元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pct"/>
            <w:vMerge w:val="continue"/>
            <w:vAlign w:val="center"/>
          </w:tcPr>
          <w:p>
            <w:pPr>
              <w:jc w:val="center"/>
              <w:rPr>
                <w:rFonts w:hint="eastAsia"/>
                <w:sz w:val="21"/>
                <w:szCs w:val="21"/>
                <w:vertAlign w:val="baseline"/>
                <w:lang w:val="en-US" w:eastAsia="zh-CN"/>
              </w:rPr>
            </w:pPr>
          </w:p>
        </w:tc>
        <w:tc>
          <w:tcPr>
            <w:tcW w:w="511" w:type="pct"/>
            <w:vMerge w:val="continue"/>
            <w:vAlign w:val="center"/>
          </w:tcPr>
          <w:p>
            <w:pPr>
              <w:jc w:val="center"/>
              <w:rPr>
                <w:rFonts w:hint="eastAsia"/>
                <w:sz w:val="21"/>
                <w:szCs w:val="21"/>
                <w:vertAlign w:val="baseline"/>
                <w:lang w:val="en-US" w:eastAsia="zh-CN"/>
              </w:rPr>
            </w:pPr>
          </w:p>
        </w:tc>
        <w:tc>
          <w:tcPr>
            <w:tcW w:w="989" w:type="pct"/>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诸福棠实用儿科学(上下册)第9版</w:t>
            </w:r>
          </w:p>
        </w:tc>
        <w:tc>
          <w:tcPr>
            <w:tcW w:w="948"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1"/>
                <w:szCs w:val="21"/>
              </w:rPr>
            </w:pPr>
            <w:r>
              <w:rPr>
                <w:rFonts w:hint="eastAsia" w:ascii="微软雅黑" w:hAnsi="微软雅黑" w:eastAsia="微软雅黑" w:cs="微软雅黑"/>
                <w:i w:val="0"/>
                <w:iCs w:val="0"/>
                <w:color w:val="000000"/>
                <w:kern w:val="0"/>
                <w:sz w:val="21"/>
                <w:szCs w:val="21"/>
                <w:u w:val="none"/>
                <w:lang w:val="en-US" w:eastAsia="zh-CN" w:bidi="ar"/>
              </w:rPr>
              <w:t>人民卫生出版社</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1本</w:t>
            </w:r>
          </w:p>
        </w:tc>
        <w:tc>
          <w:tcPr>
            <w:tcW w:w="417" w:type="pc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sz w:val="21"/>
                <w:szCs w:val="21"/>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474.3元</w:t>
            </w:r>
          </w:p>
        </w:tc>
        <w:tc>
          <w:tcPr>
            <w:tcW w:w="531" w:type="pct"/>
            <w:vMerge w:val="continue"/>
            <w:vAlign w:val="center"/>
          </w:tcPr>
          <w:p>
            <w:pPr>
              <w:jc w:val="center"/>
              <w:rPr>
                <w:rFonts w:hint="eastAsia"/>
                <w:sz w:val="21"/>
                <w:szCs w:val="21"/>
                <w:vertAlign w:val="baseline"/>
                <w:lang w:val="en-US" w:eastAsia="zh-CN"/>
              </w:rPr>
            </w:pPr>
          </w:p>
        </w:tc>
        <w:tc>
          <w:tcPr>
            <w:tcW w:w="715" w:type="pct"/>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left"/>
              <w:rPr>
                <w:rFonts w:hint="eastAsia"/>
                <w:sz w:val="21"/>
                <w:szCs w:val="21"/>
                <w:vertAlign w:val="baseline"/>
                <w:lang w:val="en-US" w:eastAsia="zh-CN"/>
              </w:rPr>
            </w:pPr>
            <w:r>
              <w:rPr>
                <w:rFonts w:hint="eastAsia"/>
                <w:sz w:val="21"/>
                <w:szCs w:val="21"/>
                <w:vertAlign w:val="baseline"/>
                <w:lang w:val="en-US" w:eastAsia="zh-CN"/>
              </w:rPr>
              <w:t>商务部分：（须完全响应）</w:t>
            </w:r>
          </w:p>
          <w:p>
            <w:pPr>
              <w:jc w:val="left"/>
              <w:rPr>
                <w:rFonts w:hint="eastAsia"/>
                <w:sz w:val="21"/>
                <w:szCs w:val="21"/>
                <w:vertAlign w:val="baseline"/>
                <w:lang w:val="en-US" w:eastAsia="zh-CN"/>
              </w:rPr>
            </w:pPr>
            <w:r>
              <w:rPr>
                <w:rFonts w:hint="eastAsia"/>
                <w:sz w:val="21"/>
                <w:szCs w:val="21"/>
                <w:vertAlign w:val="baseline"/>
                <w:lang w:val="en-US" w:eastAsia="zh-CN"/>
              </w:rPr>
              <w:t>（一）时间及地点要求</w:t>
            </w:r>
          </w:p>
          <w:p>
            <w:pPr>
              <w:jc w:val="left"/>
              <w:rPr>
                <w:rFonts w:hint="eastAsia"/>
                <w:sz w:val="21"/>
                <w:szCs w:val="21"/>
                <w:vertAlign w:val="baseline"/>
                <w:lang w:val="en-US" w:eastAsia="zh-CN"/>
              </w:rPr>
            </w:pPr>
            <w:r>
              <w:rPr>
                <w:rFonts w:hint="eastAsia"/>
                <w:sz w:val="21"/>
                <w:szCs w:val="21"/>
                <w:vertAlign w:val="baseline"/>
                <w:lang w:val="en-US" w:eastAsia="zh-CN"/>
              </w:rPr>
              <w:t>1.交付期限：期刊于合同签订后，根据期刊性质按半月/旬/月等发货；图书于合同签订后10个工作日内完成发货。</w:t>
            </w:r>
          </w:p>
          <w:p>
            <w:pPr>
              <w:jc w:val="left"/>
              <w:rPr>
                <w:rFonts w:hint="eastAsia"/>
                <w:sz w:val="21"/>
                <w:szCs w:val="21"/>
                <w:vertAlign w:val="baseline"/>
                <w:lang w:val="en-US" w:eastAsia="zh-CN"/>
              </w:rPr>
            </w:pPr>
            <w:r>
              <w:rPr>
                <w:rFonts w:hint="eastAsia"/>
                <w:sz w:val="21"/>
                <w:szCs w:val="21"/>
                <w:vertAlign w:val="baseline"/>
                <w:lang w:val="en-US" w:eastAsia="zh-CN"/>
              </w:rPr>
              <w:t xml:space="preserve">2.交货地点：重庆市璧山区人民医院指定地点。 </w:t>
            </w:r>
          </w:p>
          <w:p>
            <w:pPr>
              <w:jc w:val="left"/>
              <w:rPr>
                <w:rFonts w:hint="eastAsia"/>
                <w:sz w:val="21"/>
                <w:szCs w:val="21"/>
                <w:vertAlign w:val="baseline"/>
                <w:lang w:val="en-US" w:eastAsia="zh-CN"/>
              </w:rPr>
            </w:pPr>
            <w:r>
              <w:rPr>
                <w:rFonts w:hint="eastAsia"/>
                <w:sz w:val="21"/>
                <w:szCs w:val="21"/>
                <w:vertAlign w:val="baseline"/>
                <w:lang w:val="en-US" w:eastAsia="zh-CN"/>
              </w:rPr>
              <w:t>（二）付款方式</w:t>
            </w:r>
          </w:p>
          <w:p>
            <w:pPr>
              <w:jc w:val="left"/>
              <w:rPr>
                <w:rFonts w:hint="eastAsia"/>
                <w:sz w:val="21"/>
                <w:szCs w:val="21"/>
                <w:vertAlign w:val="baseline"/>
                <w:lang w:val="en-US" w:eastAsia="zh-CN"/>
              </w:rPr>
            </w:pPr>
            <w:bookmarkStart w:id="0" w:name="_Toc267320052"/>
            <w:r>
              <w:rPr>
                <w:rFonts w:hint="eastAsia"/>
                <w:sz w:val="21"/>
                <w:szCs w:val="21"/>
                <w:vertAlign w:val="baseline"/>
                <w:lang w:val="en-US" w:eastAsia="zh-CN"/>
              </w:rPr>
              <w:t>全额付款：合同签订后，采购人全额支付合同金额。付款时，供应商需提供发票、验收记录，未及时提供的采购人有权拒付。</w:t>
            </w:r>
          </w:p>
          <w:p>
            <w:pPr>
              <w:jc w:val="left"/>
              <w:rPr>
                <w:rFonts w:hint="eastAsia"/>
                <w:sz w:val="21"/>
                <w:szCs w:val="21"/>
                <w:vertAlign w:val="baseline"/>
                <w:lang w:val="en-US" w:eastAsia="zh-CN"/>
              </w:rPr>
            </w:pPr>
            <w:r>
              <w:rPr>
                <w:rFonts w:hint="eastAsia"/>
                <w:sz w:val="21"/>
                <w:szCs w:val="21"/>
                <w:vertAlign w:val="baseline"/>
                <w:lang w:val="en-US" w:eastAsia="zh-CN"/>
              </w:rPr>
              <w:t>（三）合同签订</w:t>
            </w:r>
          </w:p>
          <w:p>
            <w:pPr>
              <w:jc w:val="left"/>
              <w:rPr>
                <w:rFonts w:hint="eastAsia"/>
                <w:sz w:val="21"/>
                <w:szCs w:val="21"/>
                <w:vertAlign w:val="baseline"/>
                <w:lang w:val="en-US" w:eastAsia="zh-CN"/>
              </w:rPr>
            </w:pPr>
            <w:r>
              <w:rPr>
                <w:rFonts w:hint="eastAsia"/>
                <w:sz w:val="21"/>
                <w:szCs w:val="21"/>
                <w:vertAlign w:val="baseline"/>
                <w:lang w:val="en-US" w:eastAsia="zh-CN"/>
              </w:rPr>
              <w:t>成交供应商在接到成交通知后20日内与采购人签订合同；</w:t>
            </w:r>
            <w:bookmarkEnd w:id="0"/>
          </w:p>
          <w:p>
            <w:pPr>
              <w:jc w:val="left"/>
              <w:rPr>
                <w:rFonts w:hint="eastAsia"/>
                <w:sz w:val="21"/>
                <w:szCs w:val="21"/>
                <w:vertAlign w:val="baseline"/>
                <w:lang w:val="en-US" w:eastAsia="zh-CN"/>
              </w:rPr>
            </w:pPr>
            <w:r>
              <w:rPr>
                <w:rFonts w:hint="eastAsia"/>
                <w:sz w:val="21"/>
                <w:szCs w:val="21"/>
                <w:vertAlign w:val="baseline"/>
                <w:lang w:val="en-US" w:eastAsia="zh-CN"/>
              </w:rPr>
              <w:t>（四）验收</w:t>
            </w:r>
          </w:p>
          <w:p>
            <w:pPr>
              <w:jc w:val="left"/>
              <w:rPr>
                <w:rFonts w:hint="eastAsia"/>
                <w:sz w:val="21"/>
                <w:szCs w:val="21"/>
                <w:vertAlign w:val="baseline"/>
                <w:lang w:val="en-US" w:eastAsia="zh-CN"/>
              </w:rPr>
            </w:pPr>
            <w:r>
              <w:rPr>
                <w:rFonts w:hint="eastAsia"/>
                <w:sz w:val="21"/>
                <w:szCs w:val="21"/>
                <w:vertAlign w:val="baseline"/>
                <w:lang w:val="en-US" w:eastAsia="zh-CN"/>
              </w:rPr>
              <w:t>1.成交供应商将图书、期刊免费送到采购人指定地点；图书由经采购人当场开箱、清点、检查外观以及内容、编校、设计、印刷等进行开箱验收，签字确认。</w:t>
            </w:r>
          </w:p>
          <w:p>
            <w:pPr>
              <w:jc w:val="left"/>
              <w:rPr>
                <w:rFonts w:hint="eastAsia"/>
                <w:sz w:val="21"/>
                <w:szCs w:val="21"/>
                <w:vertAlign w:val="baseline"/>
                <w:lang w:val="en-US" w:eastAsia="zh-CN"/>
              </w:rPr>
            </w:pPr>
            <w:r>
              <w:rPr>
                <w:rFonts w:hint="eastAsia"/>
                <w:sz w:val="21"/>
                <w:szCs w:val="21"/>
                <w:vertAlign w:val="baseline"/>
                <w:lang w:val="en-US" w:eastAsia="zh-CN"/>
              </w:rPr>
              <w:t>2.供应商应保证图书、期刊到达采购人所在地时完好无损，如有缺漏、损坏及其他产品质量问题，由供应商负责调换、补齐或赔偿。</w:t>
            </w:r>
          </w:p>
          <w:p>
            <w:pPr>
              <w:jc w:val="left"/>
              <w:rPr>
                <w:rFonts w:hint="eastAsia"/>
                <w:sz w:val="21"/>
                <w:szCs w:val="21"/>
                <w:vertAlign w:val="baseline"/>
                <w:lang w:val="en-US" w:eastAsia="zh-CN"/>
              </w:rPr>
            </w:pPr>
            <w:r>
              <w:rPr>
                <w:rFonts w:hint="eastAsia"/>
                <w:sz w:val="21"/>
                <w:szCs w:val="21"/>
                <w:vertAlign w:val="baseline"/>
                <w:lang w:val="en-US" w:eastAsia="zh-CN"/>
              </w:rPr>
              <w:t>（六）质量保证及售后服务</w:t>
            </w:r>
          </w:p>
          <w:p>
            <w:pPr>
              <w:jc w:val="left"/>
              <w:rPr>
                <w:rFonts w:hint="eastAsia"/>
                <w:sz w:val="21"/>
                <w:szCs w:val="21"/>
                <w:vertAlign w:val="baseline"/>
                <w:lang w:val="en-US" w:eastAsia="zh-CN"/>
              </w:rPr>
            </w:pPr>
            <w:r>
              <w:rPr>
                <w:rFonts w:hint="eastAsia"/>
                <w:sz w:val="21"/>
                <w:szCs w:val="21"/>
                <w:vertAlign w:val="baseline"/>
                <w:lang w:val="en-US" w:eastAsia="zh-CN"/>
              </w:rPr>
              <w:t>1.质量保证</w:t>
            </w:r>
          </w:p>
          <w:p>
            <w:pPr>
              <w:jc w:val="left"/>
              <w:rPr>
                <w:rFonts w:hint="eastAsia"/>
                <w:sz w:val="21"/>
                <w:szCs w:val="21"/>
                <w:vertAlign w:val="baseline"/>
                <w:lang w:val="en-US" w:eastAsia="zh-CN"/>
              </w:rPr>
            </w:pPr>
            <w:r>
              <w:rPr>
                <w:rFonts w:hint="eastAsia"/>
                <w:sz w:val="21"/>
                <w:szCs w:val="21"/>
                <w:vertAlign w:val="baseline"/>
                <w:lang w:val="en-US" w:eastAsia="zh-CN"/>
              </w:rPr>
              <w:t>1.1采购货物属于国家规定“三包”范围的，其产品质量保证期不得低于“三包”规定。</w:t>
            </w:r>
          </w:p>
          <w:p>
            <w:pPr>
              <w:jc w:val="left"/>
              <w:rPr>
                <w:rFonts w:hint="eastAsia"/>
                <w:sz w:val="21"/>
                <w:szCs w:val="21"/>
                <w:vertAlign w:val="baseline"/>
                <w:lang w:val="en-US" w:eastAsia="zh-CN"/>
              </w:rPr>
            </w:pPr>
            <w:r>
              <w:rPr>
                <w:rFonts w:hint="eastAsia"/>
                <w:sz w:val="21"/>
                <w:szCs w:val="21"/>
                <w:vertAlign w:val="baseline"/>
                <w:lang w:val="en-US" w:eastAsia="zh-CN"/>
              </w:rPr>
              <w:t>1.2供应商的质量保证期承诺优于国家“三包”规定的，按供应商实际承诺执行。</w:t>
            </w:r>
          </w:p>
          <w:p>
            <w:pPr>
              <w:jc w:val="left"/>
              <w:rPr>
                <w:rFonts w:hint="eastAsia"/>
                <w:sz w:val="21"/>
                <w:szCs w:val="21"/>
                <w:vertAlign w:val="baseline"/>
                <w:lang w:val="en-US" w:eastAsia="zh-CN"/>
              </w:rPr>
            </w:pPr>
            <w:r>
              <w:rPr>
                <w:rFonts w:hint="eastAsia"/>
                <w:sz w:val="21"/>
                <w:szCs w:val="21"/>
                <w:vertAlign w:val="baseline"/>
                <w:lang w:val="en-US" w:eastAsia="zh-CN"/>
              </w:rPr>
              <w:t>1.3采购货物由产品制造商负责标准售后服务，应当在响应文件中予以明确说明，并提供相关文件。</w:t>
            </w:r>
          </w:p>
          <w:p>
            <w:pPr>
              <w:jc w:val="left"/>
              <w:rPr>
                <w:rFonts w:hint="eastAsia"/>
                <w:sz w:val="21"/>
                <w:szCs w:val="21"/>
                <w:vertAlign w:val="baseline"/>
                <w:lang w:val="en-US" w:eastAsia="zh-CN"/>
              </w:rPr>
            </w:pPr>
            <w:r>
              <w:rPr>
                <w:rFonts w:hint="eastAsia"/>
                <w:sz w:val="21"/>
                <w:szCs w:val="21"/>
                <w:vertAlign w:val="baseline"/>
                <w:lang w:val="en-US" w:eastAsia="zh-CN"/>
              </w:rPr>
              <w:t>2.售后服务</w:t>
            </w:r>
          </w:p>
          <w:p>
            <w:pPr>
              <w:jc w:val="left"/>
              <w:rPr>
                <w:rFonts w:hint="eastAsia"/>
                <w:sz w:val="21"/>
                <w:szCs w:val="21"/>
                <w:vertAlign w:val="baseline"/>
                <w:lang w:val="en-US" w:eastAsia="zh-CN"/>
              </w:rPr>
            </w:pPr>
            <w:r>
              <w:rPr>
                <w:rFonts w:hint="eastAsia"/>
                <w:sz w:val="21"/>
                <w:szCs w:val="21"/>
                <w:vertAlign w:val="baseline"/>
                <w:lang w:val="en-US" w:eastAsia="zh-CN"/>
              </w:rPr>
              <w:t>质保期内，成交供应商应按国家和行业要求提供相关售后服务。</w:t>
            </w:r>
          </w:p>
          <w:p>
            <w:pPr>
              <w:jc w:val="left"/>
              <w:rPr>
                <w:rFonts w:hint="eastAsia"/>
                <w:sz w:val="21"/>
                <w:szCs w:val="21"/>
                <w:vertAlign w:val="baseline"/>
                <w:lang w:val="en-US" w:eastAsia="zh-CN"/>
              </w:rPr>
            </w:pPr>
            <w:r>
              <w:rPr>
                <w:rFonts w:hint="eastAsia"/>
                <w:sz w:val="21"/>
                <w:szCs w:val="21"/>
                <w:vertAlign w:val="baseline"/>
                <w:lang w:val="en-US" w:eastAsia="zh-CN"/>
              </w:rPr>
              <w:t>（七）履约保证金</w:t>
            </w:r>
          </w:p>
          <w:p>
            <w:pPr>
              <w:jc w:val="left"/>
              <w:rPr>
                <w:rFonts w:hint="eastAsia"/>
                <w:sz w:val="21"/>
                <w:szCs w:val="21"/>
                <w:vertAlign w:val="baseline"/>
                <w:lang w:val="en-US" w:eastAsia="zh-CN"/>
              </w:rPr>
            </w:pPr>
            <w:r>
              <w:rPr>
                <w:rFonts w:hint="eastAsia"/>
                <w:sz w:val="21"/>
                <w:szCs w:val="21"/>
                <w:vertAlign w:val="baseline"/>
                <w:lang w:val="en-US" w:eastAsia="zh-CN"/>
              </w:rPr>
              <w:t>无</w:t>
            </w:r>
          </w:p>
          <w:p>
            <w:pPr>
              <w:jc w:val="left"/>
              <w:rPr>
                <w:rFonts w:hint="eastAsia"/>
                <w:sz w:val="21"/>
                <w:szCs w:val="21"/>
                <w:vertAlign w:val="baseline"/>
                <w:lang w:val="en-US" w:eastAsia="zh-CN"/>
              </w:rPr>
            </w:pPr>
            <w:r>
              <w:rPr>
                <w:rFonts w:hint="eastAsia"/>
                <w:sz w:val="21"/>
                <w:szCs w:val="21"/>
                <w:vertAlign w:val="baseline"/>
                <w:lang w:val="en-US" w:eastAsia="zh-CN"/>
              </w:rPr>
              <w:t>（八）</w:t>
            </w:r>
            <w:bookmarkStart w:id="1" w:name="_Toc3955"/>
            <w:r>
              <w:rPr>
                <w:rFonts w:hint="eastAsia"/>
                <w:sz w:val="21"/>
                <w:szCs w:val="21"/>
                <w:vertAlign w:val="baseline"/>
                <w:lang w:val="en-US" w:eastAsia="zh-CN"/>
              </w:rPr>
              <w:t>踏勘</w:t>
            </w:r>
            <w:bookmarkEnd w:id="1"/>
            <w:r>
              <w:rPr>
                <w:rFonts w:hint="eastAsia"/>
                <w:sz w:val="21"/>
                <w:szCs w:val="21"/>
                <w:vertAlign w:val="baseline"/>
                <w:lang w:val="en-US" w:eastAsia="zh-CN"/>
              </w:rPr>
              <w:t>现场</w:t>
            </w:r>
          </w:p>
          <w:p>
            <w:pPr>
              <w:jc w:val="left"/>
              <w:rPr>
                <w:rFonts w:hint="eastAsia"/>
                <w:sz w:val="21"/>
                <w:szCs w:val="21"/>
                <w:vertAlign w:val="baseline"/>
                <w:lang w:val="en-US" w:eastAsia="zh-CN"/>
              </w:rPr>
            </w:pPr>
            <w:r>
              <w:rPr>
                <w:rFonts w:hint="eastAsia"/>
                <w:sz w:val="21"/>
                <w:szCs w:val="21"/>
                <w:vertAlign w:val="baseline"/>
                <w:lang w:val="en-US" w:eastAsia="zh-CN"/>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jc w:val="left"/>
              <w:rPr>
                <w:rFonts w:hint="eastAsia"/>
                <w:sz w:val="21"/>
                <w:szCs w:val="21"/>
                <w:vertAlign w:val="baseline"/>
                <w:lang w:val="en-US" w:eastAsia="zh-CN"/>
              </w:rPr>
            </w:pPr>
            <w:r>
              <w:rPr>
                <w:rFonts w:hint="eastAsia"/>
                <w:sz w:val="21"/>
                <w:szCs w:val="21"/>
                <w:vertAlign w:val="baseline"/>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拆除重建及墙面修补的所有费用。</w:t>
            </w:r>
          </w:p>
          <w:p>
            <w:pPr>
              <w:jc w:val="left"/>
              <w:rPr>
                <w:rFonts w:hint="eastAsia"/>
                <w:sz w:val="21"/>
                <w:szCs w:val="21"/>
                <w:vertAlign w:val="baseline"/>
                <w:lang w:val="en-US" w:eastAsia="zh-CN"/>
              </w:rPr>
            </w:pPr>
            <w:r>
              <w:rPr>
                <w:rFonts w:hint="eastAsia"/>
                <w:sz w:val="21"/>
                <w:szCs w:val="21"/>
                <w:vertAlign w:val="baseline"/>
                <w:lang w:val="en-US" w:eastAsia="zh-CN"/>
              </w:rPr>
              <w:t>（十）其他要求：1.本次采购过程中如果产生专家评审费将由成交供应商承担；2.中标后需20日内签订采购合同和购销廉政协议，成交供应商拒绝签订或履行采购合同，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jc w:val="left"/>
              <w:rPr>
                <w:rFonts w:hint="eastAsia"/>
                <w:sz w:val="21"/>
                <w:szCs w:val="21"/>
                <w:vertAlign w:val="baseline"/>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eastAsia="zh-CN"/>
        </w:rPr>
        <w:t>产品及运送费用</w:t>
      </w:r>
      <w:r>
        <w:rPr>
          <w:rFonts w:hint="eastAsia" w:ascii="方正仿宋_GBK" w:hAnsi="方正仿宋_GBK" w:eastAsia="方正仿宋_GBK" w:cs="方正仿宋_GBK"/>
          <w:color w:val="auto"/>
          <w:sz w:val="28"/>
          <w:szCs w:val="28"/>
          <w:highlight w:val="none"/>
          <w:lang w:val="en-US" w:eastAsia="zh-CN"/>
        </w:rPr>
        <w:t>等完成本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产品配送过程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75017342"/>
      <w:bookmarkStart w:id="3" w:name="_Toc173677397"/>
      <w:bookmarkStart w:id="4" w:name="_Toc156196559"/>
      <w:bookmarkStart w:id="5" w:name="_Toc128229302"/>
      <w:bookmarkStart w:id="6" w:name="_Toc156815770"/>
      <w:bookmarkStart w:id="7" w:name="_Toc156196470"/>
      <w:bookmarkStart w:id="8" w:name="_Toc128229745"/>
      <w:bookmarkStart w:id="9" w:name="_Toc166139912"/>
      <w:bookmarkStart w:id="10" w:name="_Toc156730450"/>
      <w:bookmarkStart w:id="11" w:name="_Toc166549448"/>
      <w:bookmarkStart w:id="12" w:name="_Toc128229916"/>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746"/>
      <w:bookmarkStart w:id="14" w:name="_Toc128229303"/>
      <w:bookmarkStart w:id="15" w:name="_Toc156196560"/>
      <w:bookmarkStart w:id="16" w:name="_Toc128229917"/>
      <w:bookmarkStart w:id="17" w:name="_Toc156730451"/>
      <w:bookmarkStart w:id="18" w:name="_Toc175017343"/>
      <w:bookmarkStart w:id="19" w:name="_Toc156196471"/>
      <w:bookmarkStart w:id="20" w:name="_Toc166549449"/>
      <w:bookmarkStart w:id="21" w:name="_Toc166139913"/>
      <w:bookmarkStart w:id="22" w:name="_Toc173677398"/>
      <w:bookmarkStart w:id="23" w:name="_Toc1568157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73677399"/>
      <w:bookmarkStart w:id="25" w:name="_Toc128014297"/>
      <w:bookmarkStart w:id="26" w:name="_Toc156196472"/>
      <w:bookmarkStart w:id="27" w:name="_Toc175017344"/>
      <w:bookmarkStart w:id="28" w:name="_Toc128229304"/>
      <w:bookmarkStart w:id="29" w:name="_Toc237057793"/>
      <w:bookmarkStart w:id="30" w:name="_Toc128229747"/>
    </w:p>
    <w:p>
      <w:pPr>
        <w:pStyle w:val="2"/>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3"/>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3"/>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3"/>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3"/>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3"/>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7.</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3"/>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MzNlNzFkYmZlYTYzZDA5M2Y2OWYxYzM0ZDQyZGIifQ=="/>
  </w:docVars>
  <w:rsids>
    <w:rsidRoot w:val="00000000"/>
    <w:rsid w:val="0C872834"/>
    <w:rsid w:val="0CE64C8D"/>
    <w:rsid w:val="0EE54A68"/>
    <w:rsid w:val="0FD01451"/>
    <w:rsid w:val="122D0B62"/>
    <w:rsid w:val="1922346A"/>
    <w:rsid w:val="1AF86BE0"/>
    <w:rsid w:val="1BDE0896"/>
    <w:rsid w:val="1CF00EFC"/>
    <w:rsid w:val="236757CC"/>
    <w:rsid w:val="255D37AC"/>
    <w:rsid w:val="2FC44243"/>
    <w:rsid w:val="33FB61AD"/>
    <w:rsid w:val="376E6279"/>
    <w:rsid w:val="3DF66E1E"/>
    <w:rsid w:val="448740A2"/>
    <w:rsid w:val="456B0A3A"/>
    <w:rsid w:val="496140CE"/>
    <w:rsid w:val="4AE139DB"/>
    <w:rsid w:val="4BDB0A24"/>
    <w:rsid w:val="4C31315D"/>
    <w:rsid w:val="500750BD"/>
    <w:rsid w:val="61130716"/>
    <w:rsid w:val="61143219"/>
    <w:rsid w:val="626B6216"/>
    <w:rsid w:val="69D01878"/>
    <w:rsid w:val="6CB07B31"/>
    <w:rsid w:val="6DD05A39"/>
    <w:rsid w:val="6EC6360F"/>
    <w:rsid w:val="709601C6"/>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 w:val="24"/>
      <w:szCs w:val="24"/>
      <w:lang w:val="zh-CN" w:bidi="zh-CN"/>
    </w:rPr>
  </w:style>
  <w:style w:type="paragraph" w:styleId="4">
    <w:name w:val="Body Text Indent"/>
    <w:basedOn w:val="1"/>
    <w:qFormat/>
    <w:uiPriority w:val="99"/>
    <w:pPr>
      <w:spacing w:line="700" w:lineRule="exact"/>
      <w:ind w:left="960"/>
    </w:pPr>
    <w:rPr>
      <w:sz w:val="44"/>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next w:val="10"/>
    <w:qFormat/>
    <w:uiPriority w:val="0"/>
    <w:pPr>
      <w:spacing w:line="360" w:lineRule="auto"/>
      <w:ind w:firstLine="420"/>
    </w:pPr>
    <w:rPr>
      <w:rFonts w:ascii="宋体" w:hAnsi="宋体"/>
      <w:sz w:val="24"/>
    </w:rPr>
  </w:style>
  <w:style w:type="paragraph" w:styleId="10">
    <w:name w:val="Body Text First Indent 2"/>
    <w:basedOn w:val="4"/>
    <w:qFormat/>
    <w:uiPriority w:val="0"/>
    <w:pPr>
      <w:spacing w:after="120" w:afterLines="0" w:line="240" w:lineRule="auto"/>
      <w:ind w:left="420" w:leftChars="200" w:firstLine="420" w:firstLineChars="20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7">
    <w:name w:val="font91"/>
    <w:basedOn w:val="13"/>
    <w:qFormat/>
    <w:uiPriority w:val="0"/>
    <w:rPr>
      <w:rFonts w:ascii="楷体" w:hAnsi="楷体" w:eastAsia="楷体" w:cs="楷体"/>
      <w:color w:val="000000"/>
      <w:sz w:val="22"/>
      <w:szCs w:val="22"/>
      <w:u w:val="none"/>
      <w:vertAlign w:val="superscript"/>
    </w:rPr>
  </w:style>
  <w:style w:type="character" w:customStyle="1" w:styleId="18">
    <w:name w:val="font21"/>
    <w:basedOn w:val="13"/>
    <w:qFormat/>
    <w:uiPriority w:val="0"/>
    <w:rPr>
      <w:rFonts w:hint="eastAsia" w:ascii="仿宋" w:hAnsi="仿宋" w:eastAsia="仿宋" w:cs="仿宋"/>
      <w:b/>
      <w:bCs/>
      <w:color w:val="000000"/>
      <w:sz w:val="24"/>
      <w:szCs w:val="24"/>
      <w:u w:val="none"/>
    </w:rPr>
  </w:style>
  <w:style w:type="paragraph" w:customStyle="1" w:styleId="19">
    <w:name w:val="BodyText"/>
    <w:basedOn w:val="1"/>
    <w:next w:val="20"/>
    <w:qFormat/>
    <w:uiPriority w:val="0"/>
    <w:pPr>
      <w:jc w:val="both"/>
      <w:textAlignment w:val="baseline"/>
    </w:pPr>
    <w:rPr>
      <w:rFonts w:ascii="仿宋_GB2312" w:eastAsia="仿宋_GB2312"/>
      <w:kern w:val="2"/>
      <w:sz w:val="32"/>
      <w:lang w:val="en-US" w:eastAsia="zh-CN" w:bidi="ar-SA"/>
    </w:rPr>
  </w:style>
  <w:style w:type="paragraph" w:customStyle="1" w:styleId="20">
    <w:name w:val="BodyTextIndent"/>
    <w:basedOn w:val="1"/>
    <w:qFormat/>
    <w:uiPriority w:val="0"/>
    <w:pPr>
      <w:spacing w:line="700" w:lineRule="exact"/>
      <w:ind w:left="960"/>
      <w:jc w:val="both"/>
      <w:textAlignment w:val="baseline"/>
    </w:pPr>
    <w:rPr>
      <w:kern w:val="2"/>
      <w:sz w:val="4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13</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2024-01-09T04:08:46Z</cp:lastPrinted>
  <dcterms:modified xsi:type="dcterms:W3CDTF">2024-01-09T04:09:12Z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4BD0A4B45C47415D9388D9E3E80113E6</vt:lpwstr>
  </property>
</Properties>
</file>