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项目名称：双水平无创呼吸机等设备</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项目编号：BSRMYY-YNCG-2024-04010</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双水平无创呼吸机</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1.屏幕：≥3.5 英寸</w:t>
            </w:r>
            <w:r>
              <w:rPr>
                <w:rFonts w:hint="eastAsia" w:ascii="Times New Roman" w:hAnsi="Times New Roman" w:eastAsia="仿宋" w:cs="Times New Roman"/>
                <w:lang w:eastAsia="zh-CN"/>
              </w:rPr>
              <w:t>；</w:t>
            </w:r>
          </w:p>
          <w:p>
            <w:pPr>
              <w:rPr>
                <w:rFonts w:hint="eastAsia" w:ascii="Times New Roman" w:hAnsi="Times New Roman" w:eastAsia="仿宋" w:cs="Times New Roman"/>
              </w:rPr>
            </w:pPr>
            <w:r>
              <w:rPr>
                <w:rFonts w:hint="eastAsia" w:ascii="Times New Roman" w:hAnsi="Times New Roman" w:eastAsia="仿宋" w:cs="Times New Roman"/>
              </w:rPr>
              <w:t>2.工作模式：CPAP、APAP、S_Auto、S、ST、T；</w:t>
            </w:r>
          </w:p>
          <w:p>
            <w:pPr>
              <w:rPr>
                <w:rFonts w:hint="eastAsia" w:ascii="Times New Roman" w:hAnsi="Times New Roman" w:eastAsia="仿宋" w:cs="Times New Roman"/>
              </w:rPr>
            </w:pPr>
            <w:r>
              <w:rPr>
                <w:rFonts w:hint="eastAsia" w:ascii="Times New Roman" w:hAnsi="Times New Roman" w:eastAsia="仿宋" w:cs="Times New Roman"/>
              </w:rPr>
              <w:t>3.吸气压力：4--30cmH2O；</w:t>
            </w:r>
          </w:p>
          <w:p>
            <w:pPr>
              <w:rPr>
                <w:rFonts w:hint="eastAsia" w:ascii="Times New Roman" w:hAnsi="Times New Roman" w:eastAsia="仿宋" w:cs="Times New Roman"/>
              </w:rPr>
            </w:pPr>
            <w:r>
              <w:rPr>
                <w:rFonts w:hint="eastAsia" w:ascii="Times New Roman" w:hAnsi="Times New Roman" w:eastAsia="仿宋" w:cs="Times New Roman"/>
              </w:rPr>
              <w:t>4.呼气压力：4--25cmH2O；</w:t>
            </w:r>
          </w:p>
          <w:p>
            <w:pPr>
              <w:rPr>
                <w:rFonts w:hint="eastAsia" w:ascii="Times New Roman" w:hAnsi="Times New Roman" w:eastAsia="仿宋" w:cs="Times New Roman"/>
              </w:rPr>
            </w:pPr>
            <w:r>
              <w:rPr>
                <w:rFonts w:hint="eastAsia" w:ascii="Times New Roman" w:hAnsi="Times New Roman" w:eastAsia="仿宋" w:cs="Times New Roman"/>
              </w:rPr>
              <w:t>5.吸气灵敏度：1-5 档；</w:t>
            </w:r>
          </w:p>
          <w:p>
            <w:pPr>
              <w:rPr>
                <w:rFonts w:hint="eastAsia" w:ascii="Times New Roman" w:hAnsi="Times New Roman" w:eastAsia="仿宋" w:cs="Times New Roman"/>
              </w:rPr>
            </w:pPr>
            <w:r>
              <w:rPr>
                <w:rFonts w:hint="eastAsia" w:ascii="Times New Roman" w:hAnsi="Times New Roman" w:eastAsia="仿宋" w:cs="Times New Roman"/>
              </w:rPr>
              <w:t>6.呼气灵敏度：1-5 档；</w:t>
            </w:r>
          </w:p>
          <w:p>
            <w:pPr>
              <w:rPr>
                <w:rFonts w:hint="eastAsia" w:ascii="Times New Roman" w:hAnsi="Times New Roman" w:eastAsia="仿宋" w:cs="Times New Roman"/>
              </w:rPr>
            </w:pPr>
            <w:r>
              <w:rPr>
                <w:rFonts w:hint="eastAsia" w:ascii="Times New Roman" w:hAnsi="Times New Roman" w:eastAsia="仿宋" w:cs="Times New Roman"/>
              </w:rPr>
              <w:t>7.吸气时长：0.3-3s；</w:t>
            </w:r>
          </w:p>
          <w:p>
            <w:pPr>
              <w:rPr>
                <w:rFonts w:hint="eastAsia" w:ascii="Times New Roman" w:hAnsi="Times New Roman" w:eastAsia="仿宋" w:cs="Times New Roman"/>
              </w:rPr>
            </w:pPr>
            <w:r>
              <w:rPr>
                <w:rFonts w:hint="eastAsia" w:ascii="Times New Roman" w:hAnsi="Times New Roman" w:eastAsia="仿宋" w:cs="Times New Roman"/>
              </w:rPr>
              <w:t>8.呼吸频率：5-30次/分钟</w:t>
            </w:r>
          </w:p>
          <w:p>
            <w:pPr>
              <w:rPr>
                <w:rFonts w:hint="eastAsia" w:ascii="Times New Roman" w:hAnsi="Times New Roman" w:eastAsia="仿宋" w:cs="Times New Roman"/>
              </w:rPr>
            </w:pPr>
            <w:r>
              <w:rPr>
                <w:rFonts w:hint="eastAsia" w:ascii="Times New Roman" w:hAnsi="Times New Roman" w:eastAsia="仿宋" w:cs="Times New Roman"/>
              </w:rPr>
              <w:t>9.最大吸气时间：0.3-3s；</w:t>
            </w:r>
          </w:p>
          <w:p>
            <w:pPr>
              <w:rPr>
                <w:rFonts w:hint="eastAsia" w:ascii="Times New Roman" w:hAnsi="Times New Roman" w:eastAsia="仿宋" w:cs="Times New Roman"/>
              </w:rPr>
            </w:pPr>
            <w:r>
              <w:rPr>
                <w:rFonts w:hint="eastAsia" w:ascii="Times New Roman" w:hAnsi="Times New Roman" w:eastAsia="仿宋" w:cs="Times New Roman"/>
              </w:rPr>
              <w:t>10.最小吸气时间：0.1-4s；</w:t>
            </w:r>
          </w:p>
          <w:p>
            <w:pPr>
              <w:rPr>
                <w:rFonts w:hint="eastAsia" w:ascii="Times New Roman" w:hAnsi="Times New Roman" w:eastAsia="仿宋" w:cs="Times New Roman"/>
              </w:rPr>
            </w:pPr>
            <w:r>
              <w:rPr>
                <w:rFonts w:hint="eastAsia" w:ascii="Times New Roman" w:hAnsi="Times New Roman" w:eastAsia="仿宋" w:cs="Times New Roman"/>
              </w:rPr>
              <w:t>11.加湿器：0-5档位，支持自动；</w:t>
            </w:r>
          </w:p>
          <w:p>
            <w:pPr>
              <w:rPr>
                <w:rFonts w:hint="eastAsia" w:ascii="Times New Roman" w:hAnsi="Times New Roman" w:eastAsia="仿宋" w:cs="Times New Roman"/>
              </w:rPr>
            </w:pPr>
            <w:r>
              <w:rPr>
                <w:rFonts w:hint="eastAsia" w:ascii="Times New Roman" w:hAnsi="Times New Roman" w:eastAsia="仿宋" w:cs="Times New Roman"/>
              </w:rPr>
              <w:t>12.参数检测：压力、流量、分钟通气量、漏气量、呼吸频率、吸气时长、血氧饱和度（外置）；</w:t>
            </w:r>
          </w:p>
          <w:p>
            <w:pPr>
              <w:rPr>
                <w:rFonts w:hint="eastAsia" w:ascii="Times New Roman" w:hAnsi="Times New Roman" w:eastAsia="仿宋" w:cs="Times New Roman"/>
              </w:rPr>
            </w:pPr>
            <w:r>
              <w:rPr>
                <w:rFonts w:hint="eastAsia" w:ascii="Times New Roman" w:hAnsi="Times New Roman" w:eastAsia="仿宋" w:cs="Times New Roman"/>
              </w:rPr>
              <w:t>13.提示功能：供电故障提示、低电压提示、气道阻塞提示、高漏气提示、加湿器失效提示、SD卡写满提示、高压力提示、低压力提示、低分钟通气量提示、请更换滤棉提示；</w:t>
            </w:r>
          </w:p>
          <w:p>
            <w:pPr>
              <w:rPr>
                <w:rFonts w:hint="eastAsia" w:ascii="Times New Roman" w:hAnsi="Times New Roman" w:eastAsia="仿宋" w:cs="Times New Roman"/>
                <w:lang w:eastAsia="zh-CN"/>
              </w:rPr>
            </w:pPr>
            <w:r>
              <w:rPr>
                <w:rFonts w:hint="eastAsia" w:ascii="Times New Roman" w:hAnsi="Times New Roman" w:eastAsia="仿宋" w:cs="Times New Roman"/>
              </w:rPr>
              <w:t>14</w:t>
            </w:r>
            <w:r>
              <w:rPr>
                <w:rFonts w:hint="eastAsia" w:ascii="Times New Roman" w:hAnsi="Times New Roman" w:eastAsia="仿宋" w:cs="Times New Roman"/>
                <w:lang w:val="en-US" w:eastAsia="zh-CN"/>
              </w:rPr>
              <w:t>.</w:t>
            </w:r>
            <w:r>
              <w:rPr>
                <w:rFonts w:hint="eastAsia" w:ascii="Times New Roman" w:hAnsi="Times New Roman" w:eastAsia="仿宋" w:cs="Times New Roman"/>
              </w:rPr>
              <w:t>辅助功能：自动漏气补偿、自动开机、自动关机、延时关机</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15.设备主要配置</w:t>
            </w:r>
            <w:r>
              <w:rPr>
                <w:rFonts w:hint="eastAsia" w:ascii="Times New Roman" w:hAnsi="Times New Roman" w:eastAsia="仿宋" w:cs="Times New Roman"/>
              </w:rPr>
              <w:t>：呼吸机主机 1台</w:t>
            </w:r>
            <w:r>
              <w:rPr>
                <w:rFonts w:hint="eastAsia" w:ascii="Times New Roman" w:hAnsi="Times New Roman" w:eastAsia="仿宋" w:cs="Times New Roman"/>
                <w:lang w:eastAsia="zh-CN"/>
              </w:rPr>
              <w:t>、</w:t>
            </w:r>
            <w:r>
              <w:rPr>
                <w:rFonts w:hint="eastAsia" w:ascii="Times New Roman" w:hAnsi="Times New Roman" w:eastAsia="仿宋" w:cs="Times New Roman"/>
              </w:rPr>
              <w:t>湿化器水盒 1个</w:t>
            </w:r>
            <w:r>
              <w:rPr>
                <w:rFonts w:hint="eastAsia" w:ascii="Times New Roman" w:hAnsi="Times New Roman" w:eastAsia="仿宋" w:cs="Times New Roman"/>
                <w:lang w:eastAsia="zh-CN"/>
              </w:rPr>
              <w:t>、</w:t>
            </w:r>
            <w:r>
              <w:rPr>
                <w:rFonts w:hint="eastAsia" w:ascii="Times New Roman" w:hAnsi="Times New Roman" w:eastAsia="仿宋" w:cs="Times New Roman"/>
              </w:rPr>
              <w:t>电源适配器 1套</w:t>
            </w:r>
            <w:r>
              <w:rPr>
                <w:rFonts w:hint="eastAsia" w:ascii="Times New Roman" w:hAnsi="Times New Roman" w:eastAsia="仿宋" w:cs="Times New Roman"/>
                <w:lang w:eastAsia="zh-CN"/>
              </w:rPr>
              <w:t>、</w:t>
            </w:r>
            <w:r>
              <w:rPr>
                <w:rFonts w:hint="eastAsia" w:ascii="Times New Roman" w:hAnsi="Times New Roman" w:eastAsia="仿宋" w:cs="Times New Roman"/>
              </w:rPr>
              <w:t>SD 卡 1个</w:t>
            </w:r>
            <w:r>
              <w:rPr>
                <w:rFonts w:hint="eastAsia" w:ascii="Times New Roman" w:hAnsi="Times New Roman" w:eastAsia="仿宋" w:cs="Times New Roman"/>
                <w:lang w:eastAsia="zh-CN"/>
              </w:rPr>
              <w:t>、</w:t>
            </w:r>
            <w:r>
              <w:rPr>
                <w:rFonts w:hint="eastAsia" w:ascii="Times New Roman" w:hAnsi="Times New Roman" w:eastAsia="仿宋" w:cs="Times New Roman"/>
              </w:rPr>
              <w:t>过滤棉 2片</w:t>
            </w:r>
            <w:r>
              <w:rPr>
                <w:rFonts w:hint="eastAsia" w:ascii="Times New Roman" w:hAnsi="Times New Roman" w:eastAsia="仿宋" w:cs="Times New Roman"/>
                <w:lang w:eastAsia="zh-CN"/>
              </w:rPr>
              <w:t>、</w:t>
            </w:r>
            <w:r>
              <w:rPr>
                <w:rFonts w:hint="eastAsia" w:ascii="Times New Roman" w:hAnsi="Times New Roman" w:eastAsia="仿宋" w:cs="Times New Roman"/>
              </w:rPr>
              <w:t>便携包 1个</w:t>
            </w:r>
            <w:r>
              <w:rPr>
                <w:rFonts w:hint="eastAsia" w:ascii="Times New Roman" w:hAnsi="Times New Roman" w:eastAsia="仿宋" w:cs="Times New Roman"/>
                <w:lang w:eastAsia="zh-CN"/>
              </w:rPr>
              <w:t>、</w:t>
            </w:r>
            <w:r>
              <w:rPr>
                <w:rFonts w:hint="eastAsia" w:ascii="Times New Roman" w:hAnsi="Times New Roman" w:eastAsia="仿宋" w:cs="Times New Roman"/>
              </w:rPr>
              <w:t>使用说明书 1个</w:t>
            </w:r>
            <w:r>
              <w:rPr>
                <w:rFonts w:hint="eastAsia" w:ascii="Times New Roman" w:hAnsi="Times New Roman" w:eastAsia="仿宋" w:cs="Times New Roman"/>
                <w:lang w:eastAsia="zh-CN"/>
              </w:rPr>
              <w:t>、</w:t>
            </w:r>
            <w:r>
              <w:rPr>
                <w:rFonts w:hint="eastAsia" w:ascii="Times New Roman" w:hAnsi="Times New Roman" w:eastAsia="仿宋" w:cs="Times New Roman"/>
              </w:rPr>
              <w:t>快速入门指南 1个</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呼吸面罩 1个</w:t>
            </w:r>
            <w:r>
              <w:rPr>
                <w:rFonts w:hint="eastAsia" w:ascii="Times New Roman" w:hAnsi="Times New Roman" w:eastAsia="仿宋" w:cs="Times New Roman"/>
                <w:lang w:eastAsia="zh-CN"/>
              </w:rPr>
              <w:t>、</w:t>
            </w:r>
            <w:r>
              <w:rPr>
                <w:rFonts w:hint="eastAsia" w:ascii="Times New Roman" w:hAnsi="Times New Roman" w:eastAsia="仿宋" w:cs="Times New Roman"/>
              </w:rPr>
              <w:t>呼吸管路 1个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1台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12080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kern w:val="0"/>
                <w:sz w:val="24"/>
                <w:lang w:val="en-US" w:eastAsia="zh-CN"/>
              </w:rPr>
            </w:pPr>
            <w:r>
              <w:rPr>
                <w:rFonts w:hint="eastAsia" w:ascii="Times New Roman" w:hAnsi="Times New Roman" w:eastAsia="仿宋" w:cs="Times New Roman"/>
                <w:kern w:val="0"/>
                <w:sz w:val="24"/>
                <w:lang w:val="en-US" w:eastAsia="zh-CN"/>
              </w:rPr>
              <w:t>2</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单水平无创呼吸机</w:t>
            </w:r>
          </w:p>
        </w:tc>
        <w:tc>
          <w:tcPr>
            <w:tcW w:w="5040" w:type="dxa"/>
            <w:vAlign w:val="center"/>
          </w:tcPr>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1.通气模式：CPAP、AutoCPAP；</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2.压力范围：4-20cmH2O（±0.5cmH2O）； </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3.压力精度：±0.5cmH2O； </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4.湿化器：多档可调； </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5.监测参数：压力、潮气量、呼吸频率、分钟通气量、漏气量、吸气时间等；</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6.提示功能：供电故障提示、低电压提示、气道阻塞提示、高漏气提示、加湿器失效提示、SD卡写满提示、高压力提示、低压力提示、低分钟通气量提示、请更换滤棉提示；</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7.延时升压：0min～45min，分档可调，分档间隔 5min</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8.自动开机、自动关机、自动漏气补偿；</w:t>
            </w:r>
          </w:p>
          <w:p>
            <w:pP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9.3.5寸以上显示屏；</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10.设备主要配置：</w:t>
            </w:r>
            <w:r>
              <w:rPr>
                <w:rFonts w:hint="eastAsia" w:ascii="Times New Roman" w:hAnsi="Times New Roman" w:eastAsia="仿宋" w:cs="Times New Roman"/>
              </w:rPr>
              <w:t>呼吸机主机 1台</w:t>
            </w:r>
            <w:r>
              <w:rPr>
                <w:rFonts w:hint="eastAsia" w:ascii="Times New Roman" w:hAnsi="Times New Roman" w:eastAsia="仿宋" w:cs="Times New Roman"/>
                <w:lang w:eastAsia="zh-CN"/>
              </w:rPr>
              <w:t>、</w:t>
            </w:r>
            <w:r>
              <w:rPr>
                <w:rFonts w:hint="eastAsia" w:ascii="Times New Roman" w:hAnsi="Times New Roman" w:eastAsia="仿宋" w:cs="Times New Roman"/>
              </w:rPr>
              <w:t>湿化器水盒 1个</w:t>
            </w:r>
            <w:r>
              <w:rPr>
                <w:rFonts w:hint="eastAsia" w:ascii="Times New Roman" w:hAnsi="Times New Roman" w:eastAsia="仿宋" w:cs="Times New Roman"/>
                <w:lang w:eastAsia="zh-CN"/>
              </w:rPr>
              <w:t>、</w:t>
            </w:r>
            <w:r>
              <w:rPr>
                <w:rFonts w:hint="eastAsia" w:ascii="Times New Roman" w:hAnsi="Times New Roman" w:eastAsia="仿宋" w:cs="Times New Roman"/>
              </w:rPr>
              <w:t>电源适配器 1套</w:t>
            </w:r>
            <w:r>
              <w:rPr>
                <w:rFonts w:hint="eastAsia" w:ascii="Times New Roman" w:hAnsi="Times New Roman" w:eastAsia="仿宋" w:cs="Times New Roman"/>
                <w:lang w:eastAsia="zh-CN"/>
              </w:rPr>
              <w:t>、</w:t>
            </w:r>
            <w:r>
              <w:rPr>
                <w:rFonts w:hint="eastAsia" w:ascii="Times New Roman" w:hAnsi="Times New Roman" w:eastAsia="仿宋" w:cs="Times New Roman"/>
              </w:rPr>
              <w:t>SD 卡 1个</w:t>
            </w:r>
            <w:r>
              <w:rPr>
                <w:rFonts w:hint="eastAsia" w:ascii="Times New Roman" w:hAnsi="Times New Roman" w:eastAsia="仿宋" w:cs="Times New Roman"/>
                <w:lang w:eastAsia="zh-CN"/>
              </w:rPr>
              <w:t>、</w:t>
            </w:r>
            <w:r>
              <w:rPr>
                <w:rFonts w:hint="eastAsia" w:ascii="Times New Roman" w:hAnsi="Times New Roman" w:eastAsia="仿宋" w:cs="Times New Roman"/>
              </w:rPr>
              <w:t>过滤棉 2片</w:t>
            </w:r>
            <w:r>
              <w:rPr>
                <w:rFonts w:hint="eastAsia" w:ascii="Times New Roman" w:hAnsi="Times New Roman" w:eastAsia="仿宋" w:cs="Times New Roman"/>
                <w:lang w:eastAsia="zh-CN"/>
              </w:rPr>
              <w:t>、</w:t>
            </w:r>
            <w:r>
              <w:rPr>
                <w:rFonts w:hint="eastAsia" w:ascii="Times New Roman" w:hAnsi="Times New Roman" w:eastAsia="仿宋" w:cs="Times New Roman"/>
              </w:rPr>
              <w:t>便携包 1个</w:t>
            </w:r>
            <w:r>
              <w:rPr>
                <w:rFonts w:hint="eastAsia" w:ascii="Times New Roman" w:hAnsi="Times New Roman" w:eastAsia="仿宋" w:cs="Times New Roman"/>
                <w:lang w:eastAsia="zh-CN"/>
              </w:rPr>
              <w:t>、</w:t>
            </w:r>
            <w:r>
              <w:rPr>
                <w:rFonts w:hint="eastAsia" w:ascii="Times New Roman" w:hAnsi="Times New Roman" w:eastAsia="仿宋" w:cs="Times New Roman"/>
              </w:rPr>
              <w:t>使用说明书 1个</w:t>
            </w:r>
            <w:r>
              <w:rPr>
                <w:rFonts w:hint="eastAsia" w:ascii="Times New Roman" w:hAnsi="Times New Roman" w:eastAsia="仿宋" w:cs="Times New Roman"/>
                <w:lang w:eastAsia="zh-CN"/>
              </w:rPr>
              <w:t>、</w:t>
            </w:r>
            <w:r>
              <w:rPr>
                <w:rFonts w:hint="eastAsia" w:ascii="Times New Roman" w:hAnsi="Times New Roman" w:eastAsia="仿宋" w:cs="Times New Roman"/>
              </w:rPr>
              <w:t>快速入门指南 1个</w:t>
            </w:r>
            <w:r>
              <w:rPr>
                <w:rFonts w:hint="eastAsia" w:ascii="Times New Roman" w:hAnsi="Times New Roman" w:eastAsia="仿宋" w:cs="Times New Roman"/>
                <w:lang w:eastAsia="zh-CN"/>
              </w:rPr>
              <w:t>、</w:t>
            </w:r>
          </w:p>
          <w:p>
            <w:pPr>
              <w:rPr>
                <w:rFonts w:hint="default"/>
                <w:lang w:val="en-US" w:eastAsia="zh-CN"/>
              </w:rPr>
            </w:pPr>
            <w:r>
              <w:rPr>
                <w:rFonts w:hint="eastAsia" w:ascii="Times New Roman" w:hAnsi="Times New Roman" w:eastAsia="仿宋" w:cs="Times New Roman"/>
              </w:rPr>
              <w:t>呼吸面罩 1个</w:t>
            </w:r>
            <w:r>
              <w:rPr>
                <w:rFonts w:hint="eastAsia" w:ascii="Times New Roman" w:hAnsi="Times New Roman" w:eastAsia="仿宋" w:cs="Times New Roman"/>
                <w:lang w:eastAsia="zh-CN"/>
              </w:rPr>
              <w:t>、</w:t>
            </w:r>
            <w:r>
              <w:rPr>
                <w:rFonts w:hint="eastAsia" w:ascii="Times New Roman" w:hAnsi="Times New Roman" w:eastAsia="仿宋" w:cs="Times New Roman"/>
              </w:rPr>
              <w:t>呼吸管路 1个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1台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19980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20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lang w:val="en-US" w:eastAsia="zh-CN"/>
              </w:rPr>
              <w:t>5</w:t>
            </w:r>
            <w:r>
              <w:rPr>
                <w:rFonts w:hint="eastAsia"/>
              </w:rPr>
              <w:t>年的免费质保。质保期内维修，成交供应商免费提供所有设备原厂配件。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双水平无创呼吸机</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2</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单水平无创呼吸机</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66549448"/>
      <w:bookmarkStart w:id="3" w:name="_Toc175017342"/>
      <w:bookmarkStart w:id="4" w:name="_Toc173677397"/>
      <w:bookmarkStart w:id="5" w:name="_Toc128229745"/>
      <w:bookmarkStart w:id="6" w:name="_Toc128229302"/>
      <w:bookmarkStart w:id="7" w:name="_Toc128229916"/>
      <w:bookmarkStart w:id="8" w:name="_Toc166139912"/>
      <w:bookmarkStart w:id="9" w:name="_Toc156730450"/>
      <w:bookmarkStart w:id="10" w:name="_Toc156196559"/>
      <w:bookmarkStart w:id="11" w:name="_Toc156196470"/>
      <w:bookmarkStart w:id="12" w:name="_Toc156815770"/>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73677398"/>
      <w:bookmarkStart w:id="14" w:name="_Toc156196560"/>
      <w:bookmarkStart w:id="15" w:name="_Toc128229746"/>
      <w:bookmarkStart w:id="16" w:name="_Toc128229917"/>
      <w:bookmarkStart w:id="17" w:name="_Toc156730451"/>
      <w:bookmarkStart w:id="18" w:name="_Toc166139913"/>
      <w:bookmarkStart w:id="19" w:name="_Toc175017343"/>
      <w:bookmarkStart w:id="20" w:name="_Toc166549449"/>
      <w:bookmarkStart w:id="21" w:name="_Toc128229303"/>
      <w:bookmarkStart w:id="22" w:name="_Toc156196471"/>
      <w:bookmarkStart w:id="23" w:name="_Toc156815771"/>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56196472"/>
      <w:bookmarkStart w:id="25" w:name="_Toc128229747"/>
      <w:bookmarkStart w:id="26" w:name="_Toc128229304"/>
      <w:bookmarkStart w:id="27" w:name="_Toc175017344"/>
      <w:bookmarkStart w:id="28" w:name="_Toc128014297"/>
      <w:bookmarkStart w:id="29" w:name="_Toc173677399"/>
      <w:bookmarkStart w:id="30" w:name="_Toc237057793"/>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投标产品相关资料（医疗器械相关资质、产品参数性能彩页、检验检测报告等）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AA5051E"/>
    <w:rsid w:val="0C872834"/>
    <w:rsid w:val="0CE64C8D"/>
    <w:rsid w:val="0FD01451"/>
    <w:rsid w:val="122D0B62"/>
    <w:rsid w:val="13D33876"/>
    <w:rsid w:val="1922346A"/>
    <w:rsid w:val="1AF86BE0"/>
    <w:rsid w:val="1BDE0896"/>
    <w:rsid w:val="1C6D0063"/>
    <w:rsid w:val="1CF00EFC"/>
    <w:rsid w:val="1ED60F8E"/>
    <w:rsid w:val="21426D4A"/>
    <w:rsid w:val="236757CC"/>
    <w:rsid w:val="240F0EF6"/>
    <w:rsid w:val="26650BFA"/>
    <w:rsid w:val="283C02E8"/>
    <w:rsid w:val="2AB22886"/>
    <w:rsid w:val="2FC44243"/>
    <w:rsid w:val="33FB61AD"/>
    <w:rsid w:val="376E6279"/>
    <w:rsid w:val="39692732"/>
    <w:rsid w:val="482D6FF9"/>
    <w:rsid w:val="496140CE"/>
    <w:rsid w:val="4A685043"/>
    <w:rsid w:val="4AE139DB"/>
    <w:rsid w:val="4BDB0A24"/>
    <w:rsid w:val="4C31315D"/>
    <w:rsid w:val="4F8A7274"/>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6</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2024-04-30T01:27:26Z</cp:lastPrinted>
  <dcterms:modified xsi:type="dcterms:W3CDTF">2024-04-30T01:29:21Z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