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eastAsia="宋体" w:cs="Times New Roman"/>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：抗心磷脂抗体IgM（aCL-IgM）检测试剂盒（磁微粒化学发光法）等一批耗材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eastAsia="宋体" w:cs="Times New Roman"/>
          <w:sz w:val="32"/>
          <w:szCs w:val="32"/>
          <w:lang w:val="en-US" w:eastAsia="zh-CN"/>
        </w:rPr>
        <w:t>11003</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9"/>
        <w:gridCol w:w="1640"/>
        <w:gridCol w:w="1379"/>
        <w:gridCol w:w="2565"/>
        <w:gridCol w:w="1629"/>
        <w:gridCol w:w="950"/>
        <w:gridCol w:w="124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trPr>
        <w:tc>
          <w:tcPr>
            <w:tcW w:w="55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64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7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2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28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抗心磷脂抗体IgM（aCL-IgM）检测试剂盒（磁微粒化学发光法）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本试剂盒用于体外定量检测人血清、血浆样本中抗心磷脂抗体1gM(aCL-lgM)的浓度。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抗心磷脂抗体IgA/G/M检测试剂盒（磁微粒化学发光法）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本试剂盒用于体外定量检测人血清、血浆样本中抗心磷脂抗体IgA/G/M的浓度。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抗β2糖蛋白1抗体IgA（β2-GP1-IgA）检测试剂盒（磁微粒化学发光法）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本试剂盒用于体外定量检测人血清、血浆样本中抗β2糖蛋白1抗体IgA(β2-GP1-IgA)的浓度。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抗β2糖蛋白1抗体IgG（β2-GP1-IgG）检测试剂盒（磁微粒化学发光法）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本试剂盒用于体外定量检测人血清、血浆样本中抗β2糖蛋白1抗体IgG(β2-GP1-lgG)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抗β2糖蛋白1抗体IgA/G/M检测试剂盒（磁微粒化学发光法）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本试剂盒用于体外定量检测人血清、血浆样本中抗β2糖蛋白1抗体IgA/G/M的浓度。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抗环瓜氨酸肽（CCP）抗体检测试剂盒（磁微粒化学发光法）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本试剂盒用于体外定量检测人血清、血浆样本中抗环瓜氨酸肽(CCP)抗体的浓度。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抗突变型瓜氨酸波形蛋白（MCV）抗体检测试剂盒（磁微粒化学发光法）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本试剂盒用于体外定量检测人血清、血浆样本中抗突变型瓜氨酸波形蛋白(MCV)抗体的浓度。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大疱性皮肤病抗体检测试剂盒（磁微粒化学发光法）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型号2（Dsg1）</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表皮基底膜抗体(Bmz)、抗桥粒芯糖蛋白1抗体(Dsg1)、抗桥粒芯糖蛋白3抗体(Dsg3)、抗BP180抗体(BP180)抗BP230抗体(BP230)，临床上主要用于辅助诊断自身免疫性大疱性皮肤病。</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大疱性皮肤病抗体检测试剂盒（磁微粒化学发光法）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型号3（Dsg3）</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表皮基底膜抗体(Bmz)、抗桥粒芯糖蛋白1抗体(Dsg1)、抗桥粒芯糖蛋白3抗体(Dsg3)、抗BP180抗体(BP180)抗BP230抗体(BP230)，临床上主要用于辅助诊断自身免疫性大疱性皮肤病。</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抗肾小球基底膜（GBM）抗体IgG检测试剂盒（磁微粒化学发光法）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本试剂盒用于体外定量检测人血清、血浆样本中抗肾小球基底膜(GBM)抗体lgG的浓度。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抗蛋白酶3（PR3）抗体IgG检测试剂盒（磁微粒化学发光法）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本试剂盒用于体外定量检测人血清、血浆样本中抗蛋白酶3(PR3)抗体lgG的浓度。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抗髓过氧化物酶（MPO）抗体IgG检测试剂盒（磁微粒化学发光法）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本试剂盒用于体外定量检测人血清、血浆样本中抗髓过氧化物酶(MPO)抗体lgG的浓度。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抗胰岛细胞抗体（ICA）检测试剂盒（磁微粒化学发光法）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本试剂盒用于体外定性检测人血清、血浆样本中抗胰岛细胞抗体(ICA)。</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1245元/盒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抗胰岛素抗体（IAA）检测试剂盒（磁微粒化学发光法）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本试剂盒用于体外定性检测人血清、血浆样本中抗胰岛素抗体(IAA)。</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抗谷氨酸脱羧酶（GAD）抗体检测试剂盒（磁微粒化学发光法）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本试剂盒用于体外定量检测人血清、血浆样本中抗谷氨酸脱酶(GAD)抗体的浓度。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抗线粒体2型（AMA-M2）抗体IgG检测试剂盒（磁微粒化学发光法）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本试剂盒用于体外定量检测人血清、血浆样本中抗线粒体2型(AMA-M2)抗体lgG的浓度。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抗平滑肌抗体检测试剂盒（磁微粒化学发光法）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本试剂盒用于体外定性检测人血清、血浆样本中抗平滑肌抗体IgG (SMA-gG)。</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1170元/盒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抗肝肾微粒体1型（LKM-1）抗体IgG检测试剂盒（磁微粒化学发光法）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本试剂盒用于体外定量检测人血清、血浆样本中抗肝肾微粒体1型(LKM-1)抗体lgG的浓度。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2460元/盒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抗可溶性肝抗原/肝胰抗原（SLA/LP）抗体IgG检测试剂盒（磁微粒化学发光法）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本试剂盒用于体外定量检测人血清、血浆样本抗可溶性肝抗原/肝胰抗原(SLA/LP)抗体lgG的浓度。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2460元/盒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抗C1q抗体IgG检测试剂盒（磁微粒化学发光法）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本试剂盒用于体外定量检测人血清、血浆样本中抗C1q抗体lgG的浓度。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6400元/盒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抗磷脂酶A2受体（PLA2R）抗体IgG检测试剂盒（磁微粒化学发光法）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本试剂盒用于体外定量检测人血清、血浆样本中抗磷脂酶A2受体(PLA2R)抗体lgG的浓度。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型号1（Mi-2）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型号2（Ku）</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型号3（PM-Scl 100）</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型号4（PM-Scl 75）</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抗组蛋白（His）抗体IgG检测试剂盒（磁微粒化学发光法）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本试剂盒用于体外定量检测人血清、血浆样本中抗组蛋白(His)抗体lgG的浓度。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抗干燥综合征抗原A（SS-A）抗体IgG检测试剂盒（磁微粒化学发光法）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本试剂盒用于体外定量检测人血清、血浆样本中抗干燥综合征抗原A(SS-A)抗体lgG的浓度。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抗干燥综合征抗原B（SS-B/La）抗体IgG检测试剂盒（磁微粒化学发光法）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本试剂盒用于体外定量检测人血清、血浆样本中抗干燥综合征抗原B(SSB/La)抗体lgG的浓度。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抗PM-Scl抗体IgG检测试剂盒（磁微粒化学发光法）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本试剂盒用于体外定量检测人血清、血浆样本中PM-Scl抗体lgG的浓度。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抗核糖体蛋白P0（P0）抗体IgG检测试剂盒（磁微粒化学发光法）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本试剂盒用于体外定量检测人血清、血浆样本中抗核糖体蛋白P0(P0)抗体lgG的浓度。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抗着丝点蛋白B（CENP-B）抗体IgG检测试剂盒（磁微粒化学发光法）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本试剂盒用于体外定量检测人血清、血浆样本中抗着丝点蛋白B(CENP-B)抗体lgG的浓度。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抗Ro52抗体IgG检测试剂盒（磁微粒化学发光法）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本试剂盒用于体外定性检测人血清、血浆样本中的抗Ro52抗体lgG。</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抗增殖细胞核抗原（PCNA）抗体IgG检测试剂盒（磁微粒化学发光法）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抗增殖细胞核抗原（PCNA）抗体IgG检测试剂盒（磁微粒化学发光法）</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本试剂盒用于体外定性检测人血清、血浆样本中的抗增殖细胞核抗原(PCNA)抗体lgG。</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抗Scl-70抗体IgG检测试剂盒（磁微粒化学发光法）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本试剂盒用于体外定量检测人血清、血浆样本中Scl-70抗体lgG的浓度。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抗核小体（Nuc）抗体IgG检测试剂盒（磁微粒化学发光法）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本试剂盒用于体外定量检测人血清、血浆样本中抗核小体(Nuc)抗体lgG的浓度。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抗组胺酰tRNA合成酶（Jo-1）抗体IgG检测试剂盒（磁微粒化学发光法）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本试剂盒用于体外定量检测人血清、血浆样本中抗组胺酰tRNA合成酶(Jo-1)抗体lgG的浓度。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抗史密斯（Sm）抗体IgG检测试剂盒（磁微粒化学发光法）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本试剂盒用于体外定量检测人血清、血浆样本中抗史密斯(Sm)抗体lgG的浓度。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抗核糖核蛋白（nRNP/Sm）抗体IgG检测试剂盒（磁微粒化学发光法）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本试剂盒用于体外定量检测人血清、血浆样本中抗核糖核蛋白(nRNP/Sm)抗体lgG的浓度。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抗双链DNA（dsDNA）抗体IgG检测试剂盒（磁微粒化学发光法）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本试剂盒用于体外定量检测人血清、血浆样本中抗双链DNA(dSDNA)抗体lgG的浓度。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抗核抗体筛查试剂盒（磁微粒化学发光法）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本试剂盒用于体外定性检测人血清、血浆样本中下述抗原的lgG类自身抗体:dsDNA、Sm、组蛋白、核小体、P0、PCNA、SS-A、Ro52、SS-B/La、Scl-70、Jo-1、PM/SCI、CENP-B、nRNP/Sm、AMA-M2.</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抗单链DNA（ssDNA）抗体检测试剂盒（磁微粒化学发光法）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本试剂盒用于体外定量检测人血清、血浆样本中抗单链DNA(SSDNA)抗体的浓度,临床上主要用于药物性狼疮等的辅助诊断。</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抗α-胞衬蛋白（α-Fodrin）抗体检测试剂盒（磁微粒化学发光法）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本试剂盒用于体外定性检测人血清、血浆样本中抗a-胞衬蛋白(a-Fodrin)抗体,临床上主要用于干燥综合征(SS) 的辅助诊断。</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3500元/盒</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抗心磷脂抗体IgA（aCL-IgA）检测试剂盒（磁微粒化学发光法）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本试剂盒用于体外定量检测人血清、血浆样本中抗心磷脂抗体lgA(aCL-lgA)的浓度。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抗心磷脂抗体IgG（aCL-IgG）检测试剂盒（磁微粒化学发光法）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本试剂盒用于体外定量检测人血清、血浆样本中抗心磷脂抗体lgG(aCL-lgG)的浓度。</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型号5（Myositis Jo-1）</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型号6（SRP）</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型号7（PL-7）</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型号8（PL-12）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型号9（EJ）</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抗肌炎抗体谱IgG检测试剂盒（磁微粒化学发光法）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型号10（Myositis Ro-52）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本试剂盒用于体外定性检测人血清、血浆样本中抗Mi-2、Ku、PM-Scl 100、PM-Scl 75、Myositis Jo-1、SRP、PL-7、PL-12、EJ和Myositis Ro-52抗体IgG。</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抗胃壁细胞（PCA）抗体IgG检测试剂盒（磁微粒化学发光法）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本试剂盒用于体外定性检测人血清、血浆样本中抗胃壁细胞(PCA)抗体lgG,临床上主要用于恶性贫血(维生素B12缺乏)和萎缩性胃炎的辅助诊断。</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抗内因子（IF）抗体IgG检测试剂盒（磁微粒化学发光法）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本试剂盒用于体外定性检测人血清、血浆样本中抗内因子(IF)抗体IgG,临床上主要用于自身免疫性萎缩性胃炎及恶性贫血的辅助诊断。</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总IgE抗体检测试剂盒（磁微粒化学发光法）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本试剂盒用于体外定量检测人血清样本中总IgE抗体的浓度，临床上主要用于人体过敏反应状态的辅助诊断。</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R1：生物素标记的抗人IgE抗体，溶于缓冲液；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（综合22项）型号1（屋尘螨D1）</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rPr>
            </w:pPr>
            <w:r>
              <w:rPr>
                <w:rFonts w:hint="eastAsia"/>
              </w:rPr>
              <w:t>R1：生物素标记的过敏原，溶于缓冲液；</w:t>
            </w:r>
          </w:p>
          <w:p>
            <w:pPr>
              <w:keepNext w:val="0"/>
              <w:keepLines w:val="0"/>
              <w:widowControl/>
              <w:suppressLineNumbers w:val="0"/>
              <w:jc w:val="left"/>
              <w:textAlignment w:val="center"/>
              <w:rPr>
                <w:rFonts w:hint="eastAsia"/>
              </w:rPr>
            </w:pPr>
            <w:r>
              <w:rPr>
                <w:rFonts w:hint="eastAsia"/>
              </w:rPr>
              <w:t>R2：碱性磷酸酶标记物</w:t>
            </w:r>
          </w:p>
          <w:p>
            <w:pPr>
              <w:keepNext w:val="0"/>
              <w:keepLines w:val="0"/>
              <w:widowControl/>
              <w:suppressLineNumbers w:val="0"/>
              <w:jc w:val="left"/>
              <w:textAlignment w:val="center"/>
              <w:rPr>
                <w:rFonts w:hint="eastAsia"/>
              </w:rPr>
            </w:pPr>
            <w:r>
              <w:rPr>
                <w:rFonts w:hint="eastAsia"/>
              </w:rPr>
              <w:t>M：磁珠</w:t>
            </w:r>
          </w:p>
          <w:p>
            <w:pPr>
              <w:keepNext w:val="0"/>
              <w:keepLines w:val="0"/>
              <w:widowControl/>
              <w:suppressLineNumbers w:val="0"/>
              <w:jc w:val="left"/>
              <w:textAlignment w:val="center"/>
              <w:rPr>
                <w:rFonts w:hint="eastAsia"/>
              </w:rPr>
            </w:pPr>
            <w:r>
              <w:rPr>
                <w:rFonts w:hint="eastAsia"/>
              </w:rPr>
              <w:t>校准品（2水平）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rPr>
              <w:t>质控品（2水平</w:t>
            </w:r>
            <w:r>
              <w:rPr>
                <w:rFonts w:hint="eastAsia"/>
                <w:lang w:eastAsia="zh-CN"/>
              </w:rPr>
              <w:t>）</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（综合22项）型号2（粉尘螨D2）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（综合22项）型号3（猫上皮E1）</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（综合22项）型号4（狗上皮E5）</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（综合22项）型号5（芝麻F10）</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（综合22项）型号6（花生F13）</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（综合22项）型号7（大豆F14）</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（综合22项）型号8（牛奶F2）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（综合22项）型号9（蟹F23）</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（综合22项）型号10（虾F24）</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（综合22项）型号11（鸡蛋F245）</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（综合22项）型号12（牛肉F27）</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（综合22项）型号13（鳕鱼F3）</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（综合22项）型号14（小麦F4）</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（综合22项）型号15（羊肉F88）</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69</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（综合22项）型号16（屋尘H1）</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（综合22项）型号17（蟑螂I6）</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（综合22项）型号18（烟曲霉M3）</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（综合22项）型号19（交链孢霉M6）</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（综合22项）型号20（柳树T12）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（综合22项）型号21（普通豚草W1）</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过敏原特异性IgE抗体检测试剂盒（磁微粒化学发光法）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（综合22项）型号22（艾蒿W6）</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样本中过敏原屋尘/粉尘螨/猫上皮/狗上皮/芝麻/花生/大豆/牛奶/蟹/虾/鸡蛋/牛肉/鳕鱼/麦/羊肉/屋尘/蟑螂/烟曲霉/交链孢霉/柳树/普通豚草/艾蒿(D1/D2/E1/E5/F10/F13/F14/F2/F23/F24/F245/F27/F3/F4/F88/H1/16/M3/M6/T12/W1/W6)特异性IgE抗体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R1：生物素标记的过敏原，溶于缓冲液；</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R2：碱性磷酸酶标记物</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M：磁珠</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校准品（2水平）</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质控品（2水平）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1050元/盒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型号1（IL-1β）</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型号2（IL-2）</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型号3（IL-4）</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w:t>
            </w:r>
          </w:p>
        </w:tc>
        <w:tc>
          <w:tcPr>
            <w:tcW w:w="1640" w:type="dxa"/>
            <w:shd w:val="clear" w:color="auto" w:fill="auto"/>
            <w:vAlign w:val="center"/>
          </w:tcPr>
          <w:p>
            <w:pPr>
              <w:keepNext w:val="0"/>
              <w:keepLines w:val="0"/>
              <w:widowControl/>
              <w:suppressLineNumbers w:val="0"/>
              <w:jc w:val="left"/>
              <w:textAlignment w:val="center"/>
              <w:rPr>
                <w:rFonts w:hint="eastAsia"/>
              </w:rPr>
            </w:pPr>
            <w:r>
              <w:rPr>
                <w:rFonts w:hint="eastAsia"/>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rPr>
              <w:t>型号4（IL-5）</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型号5 (IL-6）</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81</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型号6（IL-8）</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82</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型号7（IL-10）</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83</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型号8（IL-12p70）</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84</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型号9（IL-17）</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细胞因子联合检测试剂盒（磁微粒化学发光法）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型号10（TNF-α）</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本试剂盒用于体外定量检测人血清、血浆样本中白介素1β(IL-1β)、白介素2(IL-2)、白介素4(IL-4)、白介素5(IL-5)、白介素6(IL-6)、白介素8(IL-8)、白介素10(IL-10)、白介素12p70(IL-12p70)、白介素17(IL-17)、α肿瘤坏死因子(TNF-a) 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86</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白介素2受体（IL-2R）检测试剂盒（磁微粒化学发光法）</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本试剂盒用于体外定量检测人血清、血浆样本中白介素2受体(IL-2R)的浓度,临床上主要用于炎症疾病的辅助诊断。</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3380元/盒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87</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IFN-α/IFN-γ检测试剂盒（磁微粒化学发光法）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型号1（IFN-α）</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本试剂盒用于体外定量检测人血清、血浆样本中a干扰素(IFN-a)、y干扰素(IFN-y)的浓度。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88</w:t>
            </w:r>
          </w:p>
        </w:tc>
        <w:tc>
          <w:tcPr>
            <w:tcW w:w="1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IFN-α/IFN-γ检测试剂盒（磁微粒化学发光法）</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型号2（IFN-γ）</w:t>
            </w:r>
          </w:p>
        </w:tc>
        <w:tc>
          <w:tcPr>
            <w:tcW w:w="137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纸盒+塑料+液体（106mm×65mm×75mm）</w:t>
            </w:r>
          </w:p>
        </w:tc>
        <w:tc>
          <w:tcPr>
            <w:tcW w:w="25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本试剂盒用于体外定量检测人血清、血浆样本中a干扰素(IFN-a)、y干扰素(IFN-y)的浓度。</w:t>
            </w:r>
          </w:p>
        </w:tc>
        <w:tc>
          <w:tcPr>
            <w:tcW w:w="162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R1（缓冲液）+R2（酶标记物）+M（磁珠）+质控品（2水平）+校准品（2水平）</w:t>
            </w:r>
          </w:p>
        </w:tc>
        <w:tc>
          <w:tcPr>
            <w:tcW w:w="9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800人份</w:t>
            </w:r>
          </w:p>
        </w:tc>
        <w:tc>
          <w:tcPr>
            <w:tcW w:w="124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3000元/盒</w:t>
            </w:r>
          </w:p>
        </w:tc>
        <w:tc>
          <w:tcPr>
            <w:tcW w:w="128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适用于sharay8000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供应商须完全响应本项目的所有产品，不接受供应商仅对目录中的部分产品进行投标响应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128014287"/>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66549448"/>
      <w:bookmarkStart w:id="7" w:name="_Toc156196559"/>
      <w:bookmarkStart w:id="8" w:name="_Toc175017342"/>
      <w:bookmarkStart w:id="9" w:name="_Toc128229745"/>
      <w:bookmarkStart w:id="10" w:name="_Toc128229916"/>
      <w:bookmarkStart w:id="11" w:name="_Toc156196470"/>
      <w:bookmarkStart w:id="12" w:name="_Toc156815770"/>
      <w:bookmarkStart w:id="13" w:name="_Toc173677397"/>
      <w:bookmarkStart w:id="14" w:name="_Toc15673045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73677398"/>
      <w:bookmarkStart w:id="18" w:name="_Toc128229917"/>
      <w:bookmarkStart w:id="19" w:name="_Toc156196471"/>
      <w:bookmarkStart w:id="20" w:name="_Toc175017343"/>
      <w:bookmarkStart w:id="21" w:name="_Toc128229746"/>
      <w:bookmarkStart w:id="22" w:name="_Toc166139913"/>
      <w:bookmarkStart w:id="23" w:name="_Toc128229303"/>
      <w:bookmarkStart w:id="24" w:name="_Toc156196560"/>
      <w:bookmarkStart w:id="25" w:name="_Toc156730451"/>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237057793"/>
      <w:bookmarkStart w:id="30" w:name="_Toc173677399"/>
      <w:bookmarkStart w:id="31" w:name="_Toc128014297"/>
      <w:bookmarkStart w:id="32" w:name="_Toc12822930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5.未提交表格的符合性审查将不予通过。</w:t>
      </w: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5.未提交表格的符合性审查将不予通过。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d68afe6b-1f98-4bd7-b57e-d6aad3ae2c9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b16f9a66-78dc-4c94-be52-f0a63d04ee1a}"/>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d3bd9a88-6821-4243-bc82-46676c3f7eb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1dbab68e-16b6-4a26-98eb-00f04790c3a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ce36aab8-caee-4a9f-bad4-c19b76d083a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bced2311-6e62-4e15-b93e-c2edca2f82d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1ff901ff-1fcb-4417-b55f-7a88ac2daab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66F1922"/>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47E13D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3EAF7CAE"/>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8CC1A86"/>
    <w:rsid w:val="4B000257"/>
    <w:rsid w:val="4B01127E"/>
    <w:rsid w:val="4BE06497"/>
    <w:rsid w:val="4BEF7421"/>
    <w:rsid w:val="4C071622"/>
    <w:rsid w:val="4C16658E"/>
    <w:rsid w:val="4CC6569A"/>
    <w:rsid w:val="4D380C2E"/>
    <w:rsid w:val="4E3A25BC"/>
    <w:rsid w:val="4EA57B48"/>
    <w:rsid w:val="4F340121"/>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8afe6b-1f98-4bd7-b57e-d6aad3ae2c98}"/>
        <w:style w:val=""/>
        <w:category>
          <w:name w:val="常规"/>
          <w:gallery w:val="placeholder"/>
        </w:category>
        <w:types>
          <w:type w:val="bbPlcHdr"/>
        </w:types>
        <w:behaviors>
          <w:behavior w:val="content"/>
        </w:behaviors>
        <w:description w:val=""/>
        <w:guid w:val="{d68afe6b-1f98-4bd7-b57e-d6aad3ae2c98}"/>
      </w:docPartPr>
      <w:docPartBody>
        <w:p>
          <w:r>
            <w:rPr>
              <w:color w:val="808080"/>
            </w:rPr>
            <w:t>选择一项。</w:t>
          </w:r>
        </w:p>
      </w:docPartBody>
    </w:docPart>
    <w:docPart>
      <w:docPartPr>
        <w:name w:val="{b16f9a66-78dc-4c94-be52-f0a63d04ee1a}"/>
        <w:style w:val=""/>
        <w:category>
          <w:name w:val="常规"/>
          <w:gallery w:val="placeholder"/>
        </w:category>
        <w:types>
          <w:type w:val="bbPlcHdr"/>
        </w:types>
        <w:behaviors>
          <w:behavior w:val="content"/>
        </w:behaviors>
        <w:description w:val=""/>
        <w:guid w:val="{b16f9a66-78dc-4c94-be52-f0a63d04ee1a}"/>
      </w:docPartPr>
      <w:docPartBody>
        <w:p>
          <w:r>
            <w:rPr>
              <w:color w:val="808080"/>
            </w:rPr>
            <w:t>选择一项。</w:t>
          </w:r>
        </w:p>
      </w:docPartBody>
    </w:docPart>
    <w:docPart>
      <w:docPartPr>
        <w:name w:val="{d3bd9a88-6821-4243-bc82-46676c3f7ebb}"/>
        <w:style w:val=""/>
        <w:category>
          <w:name w:val="常规"/>
          <w:gallery w:val="placeholder"/>
        </w:category>
        <w:types>
          <w:type w:val="bbPlcHdr"/>
        </w:types>
        <w:behaviors>
          <w:behavior w:val="content"/>
        </w:behaviors>
        <w:description w:val=""/>
        <w:guid w:val="{d3bd9a88-6821-4243-bc82-46676c3f7ebb}"/>
      </w:docPartPr>
      <w:docPartBody>
        <w:p>
          <w:r>
            <w:rPr>
              <w:color w:val="808080"/>
            </w:rPr>
            <w:t>选择一项。</w:t>
          </w:r>
        </w:p>
      </w:docPartBody>
    </w:docPart>
    <w:docPart>
      <w:docPartPr>
        <w:name w:val="{1dbab68e-16b6-4a26-98eb-00f04790c3a5}"/>
        <w:style w:val=""/>
        <w:category>
          <w:name w:val="常规"/>
          <w:gallery w:val="placeholder"/>
        </w:category>
        <w:types>
          <w:type w:val="bbPlcHdr"/>
        </w:types>
        <w:behaviors>
          <w:behavior w:val="content"/>
        </w:behaviors>
        <w:description w:val=""/>
        <w:guid w:val="{1dbab68e-16b6-4a26-98eb-00f04790c3a5}"/>
      </w:docPartPr>
      <w:docPartBody>
        <w:p>
          <w:r>
            <w:rPr>
              <w:color w:val="808080"/>
            </w:rPr>
            <w:t>选择一项。</w:t>
          </w:r>
        </w:p>
      </w:docPartBody>
    </w:docPart>
    <w:docPart>
      <w:docPartPr>
        <w:name w:val="{ce36aab8-caee-4a9f-bad4-c19b76d083ac}"/>
        <w:style w:val=""/>
        <w:category>
          <w:name w:val="常规"/>
          <w:gallery w:val="placeholder"/>
        </w:category>
        <w:types>
          <w:type w:val="bbPlcHdr"/>
        </w:types>
        <w:behaviors>
          <w:behavior w:val="content"/>
        </w:behaviors>
        <w:description w:val=""/>
        <w:guid w:val="{ce36aab8-caee-4a9f-bad4-c19b76d083ac}"/>
      </w:docPartPr>
      <w:docPartBody>
        <w:p>
          <w:r>
            <w:rPr>
              <w:color w:val="808080"/>
            </w:rPr>
            <w:t>选择一项。</w:t>
          </w:r>
        </w:p>
      </w:docPartBody>
    </w:docPart>
    <w:docPart>
      <w:docPartPr>
        <w:name w:val="{bced2311-6e62-4e15-b93e-c2edca2f82d7}"/>
        <w:style w:val=""/>
        <w:category>
          <w:name w:val="常规"/>
          <w:gallery w:val="placeholder"/>
        </w:category>
        <w:types>
          <w:type w:val="bbPlcHdr"/>
        </w:types>
        <w:behaviors>
          <w:behavior w:val="content"/>
        </w:behaviors>
        <w:description w:val=""/>
        <w:guid w:val="{bced2311-6e62-4e15-b93e-c2edca2f82d7}"/>
      </w:docPartPr>
      <w:docPartBody>
        <w:p>
          <w:r>
            <w:rPr>
              <w:color w:val="808080"/>
            </w:rPr>
            <w:t>选择一项。</w:t>
          </w:r>
        </w:p>
      </w:docPartBody>
    </w:docPart>
    <w:docPart>
      <w:docPartPr>
        <w:name w:val="{1ff901ff-1fcb-4417-b55f-7a88ac2daabb}"/>
        <w:style w:val=""/>
        <w:category>
          <w:name w:val="常规"/>
          <w:gallery w:val="placeholder"/>
        </w:category>
        <w:types>
          <w:type w:val="bbPlcHdr"/>
        </w:types>
        <w:behaviors>
          <w:behavior w:val="content"/>
        </w:behaviors>
        <w:description w:val=""/>
        <w:guid w:val="{1ff901ff-1fcb-4417-b55f-7a88ac2daab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0</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2025-11-26T07:03:24Z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