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bookmarkStart w:id="31" w:name="_GoBack"/>
      <w:bookmarkEnd w:id="31"/>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项目名称：放射科乳腺钼靶机房消防设施</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项目编号：BSRMYY-YNCG-2024-06004</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10.</w:t>
      </w:r>
      <w:r>
        <w:rPr>
          <w:rFonts w:hint="eastAsia" w:ascii="仿宋_GB2312" w:hAnsi="宋体" w:eastAsia="仿宋_GB2312" w:cs="宋体"/>
          <w:color w:val="auto"/>
          <w:sz w:val="32"/>
          <w:szCs w:val="32"/>
          <w:lang w:val="en-US" w:eastAsia="zh-CN"/>
        </w:rPr>
        <w:t>投标廉政承诺。</w:t>
      </w:r>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11.密封档案袋格式要求。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资质要求：要求参选人须具备消防设施工程专业承包二级及以上资质，市外建筑施工企业按照《重庆市市外建筑施工企业入渝信息报送管理办法》（渝建发〔2016〕22号）文规定，参选前已取得入渝登记备案证（在有效期内）或已纳入市城乡建委“市外建筑施工企业入渝信息库”，并在人员、设备、资金等方面具备相应的施工能力。）</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2546"/>
        <w:gridCol w:w="4005"/>
        <w:gridCol w:w="784"/>
        <w:gridCol w:w="1309"/>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6"/>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2546"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4005"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78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eastAsia="zh-CN"/>
              </w:rPr>
              <w:t>数量（</w:t>
            </w:r>
            <w:r>
              <w:rPr>
                <w:rFonts w:hint="eastAsia" w:eastAsia="仿宋" w:cs="Times New Roman"/>
                <w:b/>
                <w:kern w:val="0"/>
                <w:sz w:val="24"/>
                <w:szCs w:val="24"/>
                <w:lang w:val="en-US" w:eastAsia="zh-CN"/>
              </w:rPr>
              <w:t>个</w:t>
            </w:r>
            <w:r>
              <w:rPr>
                <w:rFonts w:hint="eastAsia" w:eastAsia="仿宋" w:cs="Times New Roman"/>
                <w:b/>
                <w:kern w:val="0"/>
                <w:sz w:val="24"/>
                <w:szCs w:val="24"/>
                <w:lang w:eastAsia="zh-CN"/>
              </w:rPr>
              <w:t>）</w:t>
            </w:r>
          </w:p>
        </w:tc>
        <w:tc>
          <w:tcPr>
            <w:tcW w:w="1309"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c>
          <w:tcPr>
            <w:tcW w:w="1283" w:type="dxa"/>
            <w:vAlign w:val="center"/>
          </w:tcPr>
          <w:p>
            <w:pPr>
              <w:widowControl/>
              <w:spacing w:line="360" w:lineRule="auto"/>
              <w:jc w:val="center"/>
              <w:rPr>
                <w:rFonts w:hint="default" w:eastAsia="仿宋" w:cs="Times New Roman"/>
                <w:b/>
                <w:kern w:val="0"/>
                <w:sz w:val="24"/>
                <w:szCs w:val="24"/>
                <w:lang w:val="en-US" w:eastAsia="zh-CN"/>
              </w:rPr>
            </w:pPr>
            <w:r>
              <w:rPr>
                <w:rFonts w:hint="eastAsia" w:eastAsia="仿宋" w:cs="Times New Roman"/>
                <w:b/>
                <w:kern w:val="0"/>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新增气体灭火主机</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JBF-5013（箱体尺寸：长275mm,高350mm，厚100mm)；具备：1、消音报警复位，2、自检，3、逻辑报警联动功能</w:t>
            </w:r>
          </w:p>
        </w:tc>
        <w:tc>
          <w:tcPr>
            <w:tcW w:w="784"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3280.00 </w:t>
            </w:r>
          </w:p>
        </w:tc>
        <w:tc>
          <w:tcPr>
            <w:tcW w:w="1283" w:type="dxa"/>
            <w:vMerge w:val="restart"/>
            <w:vAlign w:val="center"/>
          </w:tcPr>
          <w:p>
            <w:pPr>
              <w:jc w:val="center"/>
              <w:rPr>
                <w:rFonts w:hint="default" w:eastAsiaTheme="minorEastAsia"/>
                <w:sz w:val="32"/>
                <w:szCs w:val="32"/>
                <w:lang w:val="en-US" w:eastAsia="zh-CN"/>
              </w:rPr>
            </w:pPr>
            <w:r>
              <w:rPr>
                <w:rFonts w:hint="eastAsia"/>
                <w:sz w:val="32"/>
                <w:szCs w:val="32"/>
                <w:lang w:val="en-US" w:eastAsia="zh-CN"/>
              </w:rPr>
              <w:t>35220.9元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气体释放灯</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JBF5180；气体喷洒时灯亮，示警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218.32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编码声光报警器</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JBF5176；发生火警时发出声光报警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186.25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编码智能型感烟探测器</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JBF4101；有烟时报警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132.28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点型感温火灾探测器</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JBF5110；温度达到预设温度时报警</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133.65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6</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紧急启停按钮</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JBF5181；紧急启动或停止气灭系统</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178.64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7</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启动瓶组更换</w:t>
            </w:r>
          </w:p>
        </w:tc>
        <w:tc>
          <w:tcPr>
            <w:tcW w:w="4005" w:type="dxa"/>
            <w:vAlign w:val="center"/>
          </w:tcPr>
          <w:p>
            <w:pPr>
              <w:jc w:val="left"/>
              <w:rPr>
                <w:rFonts w:hint="default" w:eastAsia="黑体"/>
                <w:lang w:val="en-US" w:eastAsia="zh-CN"/>
              </w:rPr>
            </w:pPr>
            <w:r>
              <w:rPr>
                <w:rFonts w:ascii="微软雅黑" w:hAnsi="微软雅黑" w:eastAsia="微软雅黑" w:cs="微软雅黑"/>
                <w:i w:val="0"/>
                <w:iCs w:val="0"/>
                <w:caps w:val="0"/>
                <w:color w:val="444444"/>
                <w:spacing w:val="0"/>
                <w:sz w:val="21"/>
                <w:szCs w:val="21"/>
                <w:shd w:val="clear" w:fill="FFFFFF"/>
              </w:rPr>
              <w:t>含</w:t>
            </w:r>
            <w:r>
              <w:rPr>
                <w:rFonts w:hint="eastAsia" w:ascii="微软雅黑" w:hAnsi="微软雅黑" w:eastAsia="微软雅黑" w:cs="微软雅黑"/>
                <w:i w:val="0"/>
                <w:iCs w:val="0"/>
                <w:caps w:val="0"/>
                <w:color w:val="444444"/>
                <w:spacing w:val="0"/>
                <w:sz w:val="21"/>
                <w:szCs w:val="21"/>
                <w:shd w:val="clear" w:fill="FFFFFF"/>
                <w:lang w:val="en-US" w:eastAsia="zh-CN"/>
              </w:rPr>
              <w:t>原</w:t>
            </w:r>
            <w:r>
              <w:rPr>
                <w:rFonts w:ascii="微软雅黑" w:hAnsi="微软雅黑" w:eastAsia="微软雅黑" w:cs="微软雅黑"/>
                <w:i w:val="0"/>
                <w:iCs w:val="0"/>
                <w:caps w:val="0"/>
                <w:color w:val="444444"/>
                <w:spacing w:val="0"/>
                <w:sz w:val="21"/>
                <w:szCs w:val="21"/>
                <w:shd w:val="clear" w:fill="FFFFFF"/>
              </w:rPr>
              <w:t>设备拆除及</w:t>
            </w:r>
            <w:r>
              <w:rPr>
                <w:rFonts w:hint="eastAsia" w:ascii="微软雅黑" w:hAnsi="微软雅黑" w:eastAsia="微软雅黑" w:cs="微软雅黑"/>
                <w:i w:val="0"/>
                <w:iCs w:val="0"/>
                <w:caps w:val="0"/>
                <w:color w:val="444444"/>
                <w:spacing w:val="0"/>
                <w:sz w:val="21"/>
                <w:szCs w:val="21"/>
                <w:shd w:val="clear" w:fill="FFFFFF"/>
                <w:lang w:val="en-US" w:eastAsia="zh-CN"/>
              </w:rPr>
              <w:t>新设备</w:t>
            </w:r>
            <w:r>
              <w:rPr>
                <w:rFonts w:ascii="微软雅黑" w:hAnsi="微软雅黑" w:eastAsia="微软雅黑" w:cs="微软雅黑"/>
                <w:i w:val="0"/>
                <w:iCs w:val="0"/>
                <w:caps w:val="0"/>
                <w:color w:val="444444"/>
                <w:spacing w:val="0"/>
                <w:sz w:val="21"/>
                <w:szCs w:val="21"/>
                <w:shd w:val="clear" w:fill="FFFFFF"/>
              </w:rPr>
              <w:t>安装</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1280.00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8</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信号反馈装置更换</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JBF5014；</w:t>
            </w:r>
            <w:r>
              <w:rPr>
                <w:rFonts w:ascii="微软雅黑" w:hAnsi="微软雅黑" w:eastAsia="微软雅黑" w:cs="微软雅黑"/>
                <w:i w:val="0"/>
                <w:iCs w:val="0"/>
                <w:caps w:val="0"/>
                <w:color w:val="444444"/>
                <w:spacing w:val="0"/>
                <w:sz w:val="21"/>
                <w:szCs w:val="21"/>
                <w:shd w:val="clear" w:fill="FFFFFF"/>
              </w:rPr>
              <w:t>含</w:t>
            </w:r>
            <w:r>
              <w:rPr>
                <w:rFonts w:hint="eastAsia" w:ascii="微软雅黑" w:hAnsi="微软雅黑" w:eastAsia="微软雅黑" w:cs="微软雅黑"/>
                <w:i w:val="0"/>
                <w:iCs w:val="0"/>
                <w:caps w:val="0"/>
                <w:color w:val="444444"/>
                <w:spacing w:val="0"/>
                <w:sz w:val="21"/>
                <w:szCs w:val="21"/>
                <w:shd w:val="clear" w:fill="FFFFFF"/>
                <w:lang w:val="en-US" w:eastAsia="zh-CN"/>
              </w:rPr>
              <w:t>原</w:t>
            </w:r>
            <w:r>
              <w:rPr>
                <w:rFonts w:ascii="微软雅黑" w:hAnsi="微软雅黑" w:eastAsia="微软雅黑" w:cs="微软雅黑"/>
                <w:i w:val="0"/>
                <w:iCs w:val="0"/>
                <w:caps w:val="0"/>
                <w:color w:val="444444"/>
                <w:spacing w:val="0"/>
                <w:sz w:val="21"/>
                <w:szCs w:val="21"/>
                <w:shd w:val="clear" w:fill="FFFFFF"/>
              </w:rPr>
              <w:t>设备拆除及</w:t>
            </w:r>
            <w:r>
              <w:rPr>
                <w:rFonts w:hint="eastAsia" w:ascii="微软雅黑" w:hAnsi="微软雅黑" w:eastAsia="微软雅黑" w:cs="微软雅黑"/>
                <w:i w:val="0"/>
                <w:iCs w:val="0"/>
                <w:caps w:val="0"/>
                <w:color w:val="444444"/>
                <w:spacing w:val="0"/>
                <w:sz w:val="21"/>
                <w:szCs w:val="21"/>
                <w:shd w:val="clear" w:fill="FFFFFF"/>
                <w:lang w:val="en-US" w:eastAsia="zh-CN"/>
              </w:rPr>
              <w:t>新设备</w:t>
            </w:r>
            <w:r>
              <w:rPr>
                <w:rFonts w:ascii="微软雅黑" w:hAnsi="微软雅黑" w:eastAsia="微软雅黑" w:cs="微软雅黑"/>
                <w:i w:val="0"/>
                <w:iCs w:val="0"/>
                <w:caps w:val="0"/>
                <w:color w:val="444444"/>
                <w:spacing w:val="0"/>
                <w:sz w:val="21"/>
                <w:szCs w:val="21"/>
                <w:shd w:val="clear" w:fill="FFFFFF"/>
              </w:rPr>
              <w:t>安装</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398.00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9</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配线</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RVS-2*2.5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80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6.73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10</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配线</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RVS-2*1.5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260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5.88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KBG管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φ20</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150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5.80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气体灭火喷头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DN32；气体喷放装置</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138.00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气体灭火无缝钢管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28.5</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95.68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气体灭火无缝钢管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DN50</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48</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89.67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气体灭火无缝钢管</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DN32</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15</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68.62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16</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气体灭火专用法兰</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389.00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17</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气体灭火专用大小头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DN65*50</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196.00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18</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气体灭火专用大小头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DN50*32</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163.25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19</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气体灭火专用三通</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DN32</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157.52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20</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气体灭火专用弯头</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DN65</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253.67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21</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消防报警系统调试</w:t>
            </w:r>
          </w:p>
        </w:tc>
        <w:tc>
          <w:tcPr>
            <w:tcW w:w="4005" w:type="dxa"/>
            <w:vAlign w:val="center"/>
          </w:tcPr>
          <w:p>
            <w:pPr>
              <w:jc w:val="left"/>
              <w:rPr>
                <w:rFonts w:hint="default" w:eastAsia="黑体"/>
                <w:lang w:val="en-US" w:eastAsia="zh-CN"/>
              </w:rPr>
            </w:pP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2000.00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22</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吊顶损坏及恢复</w:t>
            </w:r>
          </w:p>
        </w:tc>
        <w:tc>
          <w:tcPr>
            <w:tcW w:w="4005" w:type="dxa"/>
            <w:vAlign w:val="center"/>
          </w:tcPr>
          <w:p>
            <w:pPr>
              <w:jc w:val="left"/>
              <w:rPr>
                <w:rFonts w:hint="default" w:eastAsia="黑体"/>
                <w:lang w:val="en-US" w:eastAsia="zh-CN"/>
              </w:rPr>
            </w:pP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9500.00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23</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主机联网线</w:t>
            </w:r>
          </w:p>
        </w:tc>
        <w:tc>
          <w:tcPr>
            <w:tcW w:w="4005" w:type="dxa"/>
            <w:vAlign w:val="center"/>
          </w:tcPr>
          <w:p>
            <w:pPr>
              <w:keepNext w:val="0"/>
              <w:keepLines w:val="0"/>
              <w:widowControl/>
              <w:suppressLineNumbers w:val="0"/>
              <w:jc w:val="left"/>
              <w:textAlignment w:val="center"/>
              <w:rPr>
                <w:rFonts w:hint="default" w:eastAsia="黑体"/>
                <w:lang w:val="en-US" w:eastAsia="zh-CN"/>
              </w:rPr>
            </w:pPr>
            <w:r>
              <w:rPr>
                <w:rFonts w:hint="eastAsia" w:ascii="微软雅黑" w:hAnsi="微软雅黑" w:eastAsia="微软雅黑" w:cs="微软雅黑"/>
                <w:i w:val="0"/>
                <w:iCs w:val="0"/>
                <w:color w:val="000000"/>
                <w:kern w:val="0"/>
                <w:sz w:val="24"/>
                <w:szCs w:val="24"/>
                <w:u w:val="none"/>
                <w:lang w:val="en-US" w:eastAsia="zh-CN" w:bidi="ar"/>
              </w:rPr>
              <w:t>RVVP-2*1.5；含管线</w:t>
            </w: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200</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8.69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24</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原喷淋管道拆除</w:t>
            </w:r>
          </w:p>
        </w:tc>
        <w:tc>
          <w:tcPr>
            <w:tcW w:w="4005" w:type="dxa"/>
            <w:vAlign w:val="center"/>
          </w:tcPr>
          <w:p>
            <w:pPr>
              <w:jc w:val="left"/>
              <w:rPr>
                <w:rFonts w:hint="default" w:eastAsia="黑体"/>
                <w:lang w:val="en-US" w:eastAsia="zh-CN"/>
              </w:rPr>
            </w:pPr>
          </w:p>
        </w:tc>
        <w:tc>
          <w:tcPr>
            <w:tcW w:w="784"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eastAsia" w:ascii="Times New Roman" w:hAnsi="Times New Roman" w:eastAsia="仿宋" w:cs="Times New Roman"/>
                <w:b/>
                <w:kern w:val="0"/>
                <w:sz w:val="24"/>
                <w:szCs w:val="24"/>
                <w:lang w:val="en-US" w:eastAsia="zh-CN"/>
              </w:rPr>
            </w:pPr>
            <w:r>
              <w:rPr>
                <w:rFonts w:hint="eastAsia" w:ascii="微软雅黑" w:hAnsi="微软雅黑" w:eastAsia="微软雅黑" w:cs="微软雅黑"/>
                <w:i w:val="0"/>
                <w:iCs w:val="0"/>
                <w:color w:val="000000"/>
                <w:kern w:val="0"/>
                <w:sz w:val="24"/>
                <w:szCs w:val="24"/>
                <w:u w:val="none"/>
                <w:lang w:val="en-US" w:eastAsia="zh-CN" w:bidi="ar"/>
              </w:rPr>
              <w:t xml:space="preserve">1500.00 </w:t>
            </w:r>
          </w:p>
        </w:tc>
        <w:tc>
          <w:tcPr>
            <w:tcW w:w="1283" w:type="dxa"/>
            <w:vMerge w:val="continue"/>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方正仿宋_GBK" w:hAnsi="方正仿宋_GBK" w:eastAsia="方正仿宋_GBK" w:cs="方正仿宋_GBK"/>
                <w:b/>
                <w:kern w:val="0"/>
                <w:sz w:val="24"/>
                <w:szCs w:val="24"/>
                <w:lang w:val="en-US" w:eastAsia="zh-CN"/>
              </w:rPr>
            </w:pPr>
            <w:r>
              <w:rPr>
                <w:rFonts w:hint="eastAsia" w:ascii="方正仿宋_GBK" w:hAnsi="方正仿宋_GBK" w:eastAsia="方正仿宋_GBK" w:cs="方正仿宋_GBK"/>
                <w:b/>
                <w:kern w:val="0"/>
                <w:sz w:val="24"/>
                <w:szCs w:val="24"/>
                <w:lang w:val="en-US" w:eastAsia="zh-CN"/>
              </w:rPr>
              <w:t>25</w:t>
            </w:r>
          </w:p>
        </w:tc>
        <w:tc>
          <w:tcPr>
            <w:tcW w:w="25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Times New Roman" w:hAnsi="Times New Roman" w:eastAsia="仿宋" w:cs="Times New Roman"/>
                <w:b/>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辅材及脚手架</w:t>
            </w:r>
          </w:p>
        </w:tc>
        <w:tc>
          <w:tcPr>
            <w:tcW w:w="4005" w:type="dxa"/>
            <w:vAlign w:val="center"/>
          </w:tcPr>
          <w:p>
            <w:pPr>
              <w:jc w:val="left"/>
              <w:rPr>
                <w:rFonts w:hint="default" w:ascii="Times New Roman" w:hAnsi="Times New Roman" w:eastAsia="仿宋" w:cs="Times New Roman"/>
                <w:b/>
                <w:kern w:val="0"/>
                <w:sz w:val="24"/>
                <w:szCs w:val="24"/>
                <w:lang w:val="en-US" w:eastAsia="zh-CN" w:bidi="ar-SA"/>
              </w:rPr>
            </w:pPr>
          </w:p>
        </w:tc>
        <w:tc>
          <w:tcPr>
            <w:tcW w:w="784"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09" w:type="dxa"/>
            <w:vAlign w:val="center"/>
          </w:tcPr>
          <w:p>
            <w:pPr>
              <w:keepNext w:val="0"/>
              <w:keepLines w:val="0"/>
              <w:widowControl/>
              <w:suppressLineNumbers w:val="0"/>
              <w:jc w:val="center"/>
              <w:textAlignment w:val="center"/>
              <w:rPr>
                <w:rFonts w:hint="default" w:ascii="Times New Roman" w:hAnsi="Times New Roman" w:eastAsia="仿宋" w:cs="Times New Roman"/>
                <w:b/>
                <w:kern w:val="0"/>
                <w:sz w:val="24"/>
                <w:szCs w:val="24"/>
                <w:lang w:val="en-US" w:eastAsia="zh-CN" w:bidi="ar-SA"/>
              </w:rPr>
            </w:pPr>
            <w:r>
              <w:rPr>
                <w:rFonts w:hint="eastAsia" w:ascii="微软雅黑" w:hAnsi="微软雅黑" w:eastAsia="微软雅黑" w:cs="微软雅黑"/>
                <w:i w:val="0"/>
                <w:iCs w:val="0"/>
                <w:color w:val="000000"/>
                <w:kern w:val="0"/>
                <w:sz w:val="24"/>
                <w:szCs w:val="24"/>
                <w:u w:val="none"/>
                <w:lang w:val="en-US" w:eastAsia="zh-CN" w:bidi="ar"/>
              </w:rPr>
              <w:t xml:space="preserve">1000.00 </w:t>
            </w:r>
          </w:p>
        </w:tc>
        <w:tc>
          <w:tcPr>
            <w:tcW w:w="1283" w:type="dxa"/>
            <w:vMerge w:val="continue"/>
            <w:vAlign w:val="top"/>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jc w:val="center"/>
              <w:rPr>
                <w:rFonts w:hint="default" w:eastAsiaTheme="minor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本项目一次性采购，</w:t>
            </w:r>
            <w:r>
              <w:rPr>
                <w:rFonts w:hint="eastAsia" w:ascii="方正仿宋_GBK" w:hAnsi="方正仿宋_GBK" w:eastAsia="方正仿宋_GBK" w:cs="方正仿宋_GBK"/>
                <w:b/>
                <w:bCs/>
                <w:sz w:val="24"/>
                <w:szCs w:val="24"/>
                <w:lang w:val="en-US" w:eastAsia="zh-CN"/>
              </w:rPr>
              <w:t>供应商在报送总价时一并报送分项单价，</w:t>
            </w:r>
            <w:r>
              <w:rPr>
                <w:rFonts w:hint="eastAsia" w:ascii="方正仿宋_GBK" w:hAnsi="方正仿宋_GBK" w:eastAsia="方正仿宋_GBK" w:cs="方正仿宋_GBK"/>
                <w:sz w:val="24"/>
                <w:szCs w:val="24"/>
                <w:lang w:val="en-US" w:eastAsia="zh-CN"/>
              </w:rPr>
              <w:t>以实际送货量据实结算。</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交付期限：</w:t>
            </w:r>
            <w:r>
              <w:rPr>
                <w:rFonts w:hint="eastAsia" w:ascii="方正仿宋_GBK" w:hAnsi="方正仿宋_GBK" w:eastAsia="方正仿宋_GBK" w:cs="方正仿宋_GBK"/>
                <w:sz w:val="24"/>
                <w:szCs w:val="24"/>
                <w:lang w:val="en-US" w:eastAsia="zh-CN"/>
              </w:rPr>
              <w:t>采购人发出中选通知后5个工作日</w:t>
            </w:r>
            <w:r>
              <w:rPr>
                <w:rFonts w:hint="eastAsia" w:ascii="方正仿宋_GBK" w:hAnsi="方正仿宋_GBK" w:eastAsia="方正仿宋_GBK" w:cs="方正仿宋_GBK"/>
                <w:sz w:val="24"/>
                <w:szCs w:val="24"/>
              </w:rPr>
              <w:t>完成</w:t>
            </w:r>
            <w:r>
              <w:rPr>
                <w:rFonts w:hint="eastAsia" w:ascii="方正仿宋_GBK" w:hAnsi="方正仿宋_GBK" w:eastAsia="方正仿宋_GBK" w:cs="方正仿宋_GBK"/>
                <w:sz w:val="24"/>
                <w:szCs w:val="24"/>
                <w:lang w:val="en-US" w:eastAsia="zh-CN"/>
              </w:rPr>
              <w:t>送货安装调试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4.报价要求：本次报价为人民币包干价，包含：货款、运输装卸费、安装调试费、辅材费、税费、保险费、场地清洁费、质保期维护费用、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验收通过后一次性支付100%</w:t>
            </w:r>
            <w:r>
              <w:rPr>
                <w:rFonts w:hint="eastAsia" w:ascii="方正仿宋_GBK" w:hAnsi="方正仿宋_GBK" w:eastAsia="方正仿宋_GBK" w:cs="方正仿宋_GBK"/>
                <w:sz w:val="24"/>
                <w:szCs w:val="24"/>
              </w:rPr>
              <w:t>，供应商需提供发票、</w:t>
            </w:r>
            <w:r>
              <w:rPr>
                <w:rFonts w:hint="eastAsia" w:ascii="方正仿宋_GBK" w:hAnsi="方正仿宋_GBK" w:eastAsia="方正仿宋_GBK" w:cs="方正仿宋_GBK"/>
                <w:sz w:val="24"/>
                <w:szCs w:val="24"/>
                <w:lang w:val="en-US" w:eastAsia="zh-CN"/>
              </w:rPr>
              <w:t>验收记录</w:t>
            </w:r>
            <w:r>
              <w:rPr>
                <w:rFonts w:hint="eastAsia" w:ascii="方正仿宋_GBK" w:hAnsi="方正仿宋_GBK" w:eastAsia="方正仿宋_GBK" w:cs="方正仿宋_GBK"/>
                <w:sz w:val="24"/>
                <w:szCs w:val="24"/>
              </w:rPr>
              <w:t>，未及时提供的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成交供应商在接到成交通知后20日内与采购人签订合同</w:t>
            </w:r>
            <w:bookmarkEnd w:id="0"/>
            <w:r>
              <w:rPr>
                <w:rFonts w:hint="eastAsia" w:ascii="方正仿宋_GBK" w:hAnsi="方正仿宋_GBK" w:eastAsia="方正仿宋_GBK" w:cs="方正仿宋_GBK"/>
                <w:sz w:val="24"/>
                <w:szCs w:val="24"/>
                <w:lang w:eastAsia="zh-CN"/>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r>
              <w:rPr>
                <w:rFonts w:hint="eastAsia" w:ascii="方正仿宋_GBK" w:hAnsi="方正仿宋_GBK" w:eastAsia="方正仿宋_GBK" w:cs="方正仿宋_GBK"/>
                <w:sz w:val="24"/>
                <w:szCs w:val="24"/>
                <w:lang w:val="en-US" w:eastAsia="zh-CN"/>
              </w:rPr>
              <w:t>后方能安装调试</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w:t>
            </w:r>
            <w:r>
              <w:rPr>
                <w:rFonts w:hint="eastAsia" w:ascii="方正仿宋_GBK" w:hAnsi="方正仿宋_GBK" w:eastAsia="方正仿宋_GBK" w:cs="方正仿宋_GBK"/>
                <w:b/>
                <w:bCs/>
                <w:sz w:val="24"/>
                <w:szCs w:val="24"/>
              </w:rPr>
              <w:t>生产日期应为1年以内的全新产品</w:t>
            </w:r>
            <w:r>
              <w:rPr>
                <w:rFonts w:hint="eastAsia" w:ascii="方正仿宋_GBK" w:hAnsi="方正仿宋_GBK" w:eastAsia="方正仿宋_GBK" w:cs="方正仿宋_GBK"/>
                <w:sz w:val="24"/>
                <w:szCs w:val="24"/>
              </w:rPr>
              <w:t>。如有缺漏、损坏，由供应商负责调换、补齐或赔偿。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3.成交供应商派遣专业技术人员在采购人指定地点对采购人使用人员进行设备使用与操作进行免费专业培训，使其能正常操作。</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4.1采购合同须与投标文件中的技术要求对照表相一致；若不满足相应要求，取消其中标资格。</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4.2</w:t>
            </w:r>
            <w:r>
              <w:rPr>
                <w:rFonts w:hint="eastAsia" w:ascii="方正仿宋_GBK" w:hAnsi="方正仿宋_GBK" w:eastAsia="方正仿宋_GBK" w:cs="方正仿宋_GBK"/>
                <w:sz w:val="24"/>
                <w:szCs w:val="24"/>
                <w:lang w:val="en-US" w:eastAsia="zh-CN"/>
              </w:rPr>
              <w:t>产品</w:t>
            </w:r>
            <w:r>
              <w:rPr>
                <w:rFonts w:hint="eastAsia" w:ascii="方正仿宋_GBK" w:hAnsi="方正仿宋_GBK" w:eastAsia="方正仿宋_GBK" w:cs="方正仿宋_GBK"/>
                <w:sz w:val="24"/>
                <w:szCs w:val="24"/>
              </w:rPr>
              <w:t>品种、规格、数量、技术参数以及商品品牌、生产厂家等与投标文件和采购合同一致，性能指标达到规定的标准。</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4.3货物技术资料、装箱单、合格证等资料齐全。</w:t>
            </w:r>
          </w:p>
          <w:p>
            <w:pPr>
              <w:spacing w:line="50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4.4</w:t>
            </w:r>
            <w:r>
              <w:rPr>
                <w:rFonts w:hint="eastAsia" w:ascii="方正仿宋_GBK" w:hAnsi="方正仿宋_GBK" w:eastAsia="方正仿宋_GBK" w:cs="方正仿宋_GBK"/>
                <w:sz w:val="24"/>
                <w:szCs w:val="24"/>
                <w:lang w:val="en-US" w:eastAsia="zh-CN"/>
              </w:rPr>
              <w:t>验收后使用期间发现疑似产品质量问题，供应商应承担鉴定费用。</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4.5在规定时间内完成交货，并经采购人确认。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5.采购人需要制造商对成交供应商交付的产品（包括质量、技术参数等）进行确认的，成交供应商须提供制造商加盖公章的书面意见。</w:t>
            </w:r>
          </w:p>
          <w:p>
            <w:pPr>
              <w:pStyle w:val="4"/>
              <w:spacing w:line="500" w:lineRule="exact"/>
              <w:ind w:firstLine="480" w:firstLineChars="200"/>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6. 验收时产生争议，采购人可邀请国家认可的质量检测机构参加验收工作，产生的验收费用由供应商承担。</w:t>
            </w:r>
          </w:p>
          <w:p>
            <w:pPr>
              <w:ind w:firstLine="480" w:firstLineChars="200"/>
              <w:rPr>
                <w:rFonts w:hint="default"/>
                <w:lang w:val="en-US" w:eastAsia="zh-CN"/>
              </w:rPr>
            </w:pPr>
            <w:r>
              <w:rPr>
                <w:rFonts w:hint="eastAsia" w:ascii="方正仿宋_GBK" w:hAnsi="方正仿宋_GBK" w:eastAsia="方正仿宋_GBK" w:cs="方正仿宋_GBK"/>
                <w:kern w:val="2"/>
                <w:sz w:val="24"/>
                <w:szCs w:val="24"/>
                <w:highlight w:val="yellow"/>
                <w:lang w:val="en-US" w:eastAsia="zh-CN" w:bidi="ar-SA"/>
              </w:rPr>
              <w:t>7.如消防部门检查要求整改的，应免费进行整改，直至符合消防部门规范要求。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1.1自验收合格之日起，</w:t>
            </w:r>
            <w:r>
              <w:rPr>
                <w:rFonts w:hint="eastAsia" w:ascii="方正仿宋_GBK" w:hAnsi="方正仿宋_GBK" w:eastAsia="方正仿宋_GBK" w:cs="方正仿宋_GBK"/>
                <w:b/>
                <w:bCs/>
                <w:sz w:val="24"/>
                <w:szCs w:val="24"/>
                <w:u w:val="single"/>
              </w:rPr>
              <w:t>提供所投产品不低于</w:t>
            </w:r>
            <w:r>
              <w:rPr>
                <w:rFonts w:hint="eastAsia" w:ascii="方正仿宋_GBK" w:hAnsi="方正仿宋_GBK" w:eastAsia="方正仿宋_GBK" w:cs="方正仿宋_GBK"/>
                <w:b/>
                <w:bCs/>
                <w:sz w:val="24"/>
                <w:szCs w:val="24"/>
                <w:highlight w:val="yellow"/>
                <w:u w:val="single"/>
                <w:lang w:val="en-US" w:eastAsia="zh-CN"/>
              </w:rPr>
              <w:t>3</w:t>
            </w:r>
            <w:r>
              <w:rPr>
                <w:rFonts w:hint="eastAsia" w:ascii="方正仿宋_GBK" w:hAnsi="方正仿宋_GBK" w:eastAsia="方正仿宋_GBK" w:cs="方正仿宋_GBK"/>
                <w:b/>
                <w:bCs/>
                <w:sz w:val="24"/>
                <w:szCs w:val="24"/>
                <w:highlight w:val="yellow"/>
                <w:u w:val="single"/>
              </w:rPr>
              <w:t>年的免费质保</w:t>
            </w:r>
            <w:r>
              <w:rPr>
                <w:rFonts w:hint="eastAsia" w:ascii="方正仿宋_GBK" w:hAnsi="方正仿宋_GBK" w:eastAsia="方正仿宋_GBK" w:cs="方正仿宋_GBK"/>
                <w:b/>
                <w:bCs/>
                <w:sz w:val="24"/>
                <w:szCs w:val="24"/>
                <w:u w:val="single"/>
                <w:lang w:eastAsia="zh-CN"/>
              </w:rPr>
              <w:t>，</w:t>
            </w:r>
            <w:r>
              <w:rPr>
                <w:rFonts w:hint="eastAsia" w:ascii="方正仿宋_GBK" w:hAnsi="方正仿宋_GBK" w:eastAsia="方正仿宋_GBK" w:cs="方正仿宋_GBK"/>
                <w:b/>
                <w:bCs/>
                <w:sz w:val="24"/>
                <w:szCs w:val="24"/>
                <w:u w:val="single"/>
                <w:lang w:val="en-US" w:eastAsia="zh-CN"/>
              </w:rPr>
              <w:t>非人为损坏免费更换</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产品质保期内有任何质量问题，采购人有权要求供应商整改和退还，如产品变色、脱漆、破损等。</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1.3供应商的质量保证期承诺优于国家“三包”规定的，按供应商实际承诺执行。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2.1.2现场响应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采购人遇到使用及技术问题，电话咨询不能解决的，成交供应商或制造商应在</w:t>
            </w:r>
            <w:r>
              <w:rPr>
                <w:rFonts w:hint="eastAsia" w:ascii="方正仿宋_GBK" w:hAnsi="方正仿宋_GBK" w:eastAsia="方正仿宋_GBK" w:cs="方正仿宋_GBK"/>
                <w:sz w:val="24"/>
                <w:szCs w:val="24"/>
                <w:lang w:val="en-US" w:eastAsia="zh-CN"/>
              </w:rPr>
              <w:t>4小时</w:t>
            </w:r>
            <w:r>
              <w:rPr>
                <w:rFonts w:hint="eastAsia" w:ascii="方正仿宋_GBK" w:hAnsi="方正仿宋_GBK" w:eastAsia="方正仿宋_GBK" w:cs="方正仿宋_GBK"/>
                <w:sz w:val="24"/>
                <w:szCs w:val="24"/>
              </w:rPr>
              <w:t>内派专业技术人员到达现场进行</w:t>
            </w:r>
            <w:r>
              <w:rPr>
                <w:rFonts w:hint="eastAsia" w:ascii="方正仿宋_GBK" w:hAnsi="方正仿宋_GBK" w:eastAsia="方正仿宋_GBK" w:cs="方正仿宋_GBK"/>
                <w:sz w:val="24"/>
                <w:szCs w:val="24"/>
                <w:lang w:val="en-US" w:eastAsia="zh-CN"/>
              </w:rPr>
              <w:t>处理</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5小时不能解决问题的应提供备用产品。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2.1.3技术升级</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在质保期内，如果成交供应商或制造商的产品免费技术升级，成交供应商应及时通知采购人，如采购人有相应要求，成交供应商或制造商应对采购人进行免费升级服务。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2.2质保期满服务要求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质保期满后成交供应商或制造商应同样提供免费电话咨询服务；承诺提供产品上门维修服务时只收取维修配件费，不收其他费用。常用的、容易损坏的维修配件的价格清单须在响应文件中列出。</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51"/>
              <w:gridCol w:w="1485"/>
              <w:gridCol w:w="1485"/>
              <w:gridCol w:w="1486"/>
              <w:gridCol w:w="1486"/>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2051"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技术参数是否完全响应</w:t>
                  </w:r>
                </w:p>
              </w:tc>
              <w:tc>
                <w:tcPr>
                  <w:tcW w:w="1485"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商务要求是否完全响应</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产品品牌及型号</w:t>
                  </w:r>
                </w:p>
              </w:tc>
              <w:tc>
                <w:tcPr>
                  <w:tcW w:w="1486" w:type="dxa"/>
                </w:tcPr>
                <w:p>
                  <w:pPr>
                    <w:widowControl/>
                    <w:spacing w:line="360" w:lineRule="auto"/>
                    <w:jc w:val="center"/>
                    <w:rPr>
                      <w:rFonts w:hint="eastAsia"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产品质量保证期（年）</w:t>
                  </w:r>
                </w:p>
              </w:tc>
              <w:tc>
                <w:tcPr>
                  <w:tcW w:w="1486"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lang w:val="en-US" w:eastAsia="zh-CN" w:bidi="ar"/>
                    </w:rPr>
                    <w:t>产品总报价（元）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1</w:t>
                  </w:r>
                </w:p>
              </w:tc>
              <w:tc>
                <w:tcPr>
                  <w:tcW w:w="2051"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放射科消防设施</w:t>
                  </w: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5"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default"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6"/>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注意：技术参数请在投标产品相关资料中提供佐证材料。请单独对每个分项进行报价，便于后期施工增减时据实结算。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815770"/>
      <w:bookmarkStart w:id="3" w:name="_Toc173677397"/>
      <w:bookmarkStart w:id="4" w:name="_Toc128229916"/>
      <w:bookmarkStart w:id="5" w:name="_Toc175017342"/>
      <w:bookmarkStart w:id="6" w:name="_Toc156196559"/>
      <w:bookmarkStart w:id="7" w:name="_Toc128229745"/>
      <w:bookmarkStart w:id="8" w:name="_Toc156730450"/>
      <w:bookmarkStart w:id="9" w:name="_Toc156196470"/>
      <w:bookmarkStart w:id="10" w:name="_Toc128229302"/>
      <w:bookmarkStart w:id="11" w:name="_Toc166139912"/>
      <w:bookmarkStart w:id="12" w:name="_Toc166549448"/>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66549449"/>
      <w:bookmarkStart w:id="14" w:name="_Toc175017343"/>
      <w:bookmarkStart w:id="15" w:name="_Toc156815771"/>
      <w:bookmarkStart w:id="16" w:name="_Toc128229746"/>
      <w:bookmarkStart w:id="17" w:name="_Toc173677398"/>
      <w:bookmarkStart w:id="18" w:name="_Toc156196560"/>
      <w:bookmarkStart w:id="19" w:name="_Toc128229917"/>
      <w:bookmarkStart w:id="20" w:name="_Toc156730451"/>
      <w:bookmarkStart w:id="21" w:name="_Toc166139913"/>
      <w:bookmarkStart w:id="22" w:name="_Toc156196471"/>
      <w:bookmarkStart w:id="23" w:name="_Toc128229303"/>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304"/>
      <w:bookmarkStart w:id="25" w:name="_Toc128014297"/>
      <w:bookmarkStart w:id="26" w:name="_Toc128229747"/>
      <w:bookmarkStart w:id="27" w:name="_Toc156196472"/>
      <w:bookmarkStart w:id="28" w:name="_Toc173677399"/>
      <w:bookmarkStart w:id="29" w:name="_Toc175017344"/>
      <w:bookmarkStart w:id="30" w:name="_Toc237057793"/>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9.质保期后易损配件报价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2"/>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4"/>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11.密封档案袋格式要求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 w:name="KSO_WPS_MARK_KEY" w:val="acdd2c10-9a16-4546-8a34-224054ff7300"/>
  </w:docVars>
  <w:rsids>
    <w:rsidRoot w:val="00000000"/>
    <w:rsid w:val="000A5C6E"/>
    <w:rsid w:val="015B6D6E"/>
    <w:rsid w:val="056E5276"/>
    <w:rsid w:val="06FB539B"/>
    <w:rsid w:val="0C872834"/>
    <w:rsid w:val="0CE64C8D"/>
    <w:rsid w:val="0FD01451"/>
    <w:rsid w:val="122D0B62"/>
    <w:rsid w:val="18B50D96"/>
    <w:rsid w:val="1922346A"/>
    <w:rsid w:val="1AAE2C67"/>
    <w:rsid w:val="1AF86BE0"/>
    <w:rsid w:val="1BDE0896"/>
    <w:rsid w:val="1CF00EFC"/>
    <w:rsid w:val="21426D4A"/>
    <w:rsid w:val="21637272"/>
    <w:rsid w:val="236757CC"/>
    <w:rsid w:val="2C3529EE"/>
    <w:rsid w:val="2FC44243"/>
    <w:rsid w:val="31092EA8"/>
    <w:rsid w:val="33FB61AD"/>
    <w:rsid w:val="342C6BC9"/>
    <w:rsid w:val="36052340"/>
    <w:rsid w:val="376E6279"/>
    <w:rsid w:val="38A14340"/>
    <w:rsid w:val="3D8263F7"/>
    <w:rsid w:val="44C5770F"/>
    <w:rsid w:val="44EF71C4"/>
    <w:rsid w:val="482D6FF9"/>
    <w:rsid w:val="496140CE"/>
    <w:rsid w:val="4AE139DB"/>
    <w:rsid w:val="4BDB0A24"/>
    <w:rsid w:val="4C31315D"/>
    <w:rsid w:val="4D0B0117"/>
    <w:rsid w:val="4F6D75ED"/>
    <w:rsid w:val="53A17F68"/>
    <w:rsid w:val="53DB6C22"/>
    <w:rsid w:val="5E932E93"/>
    <w:rsid w:val="5FA4498B"/>
    <w:rsid w:val="61130716"/>
    <w:rsid w:val="61143219"/>
    <w:rsid w:val="61707CCC"/>
    <w:rsid w:val="626B6216"/>
    <w:rsid w:val="63111145"/>
    <w:rsid w:val="67CF5844"/>
    <w:rsid w:val="69D01878"/>
    <w:rsid w:val="6A1F4430"/>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4616</Words>
  <Characters>5009</Characters>
  <Lines>0</Lines>
  <Paragraphs>0</Paragraphs>
  <TotalTime>0</TotalTime>
  <ScaleCrop>false</ScaleCrop>
  <LinksUpToDate>false</LinksUpToDate>
  <CharactersWithSpaces>5638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nightmare-z</cp:lastModifiedBy>
  <cp:lastPrinted>2024-06-04T02:53:00Z</cp:lastPrinted>
  <dcterms:modified xsi:type="dcterms:W3CDTF">2024-06-07T18:48:10Z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40911622E63349DF9396E57C37D5437B</vt:lpwstr>
  </property>
</Properties>
</file>