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项目名称：病人腕带</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 xml:space="preserve">项目编号：BSRMYY-YNCG-2026-08023 </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4"/>
        <w:tblW w:w="532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37"/>
        <w:gridCol w:w="1985"/>
        <w:gridCol w:w="2083"/>
        <w:gridCol w:w="954"/>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678" w:type="pct"/>
            <w:gridSpan w:val="2"/>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992"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预估量（3年）</w:t>
            </w:r>
          </w:p>
        </w:tc>
        <w:tc>
          <w:tcPr>
            <w:tcW w:w="454"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17"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56"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732" w:type="pct"/>
            <w:vMerge w:val="restart"/>
            <w:shd w:val="clear" w:color="auto" w:fill="auto"/>
            <w:vAlign w:val="center"/>
          </w:tcPr>
          <w:p w14:paraId="2197298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病人腕带</w:t>
            </w:r>
          </w:p>
        </w:tc>
        <w:tc>
          <w:tcPr>
            <w:tcW w:w="946" w:type="pct"/>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成人腕带</w:t>
            </w:r>
          </w:p>
        </w:tc>
        <w:tc>
          <w:tcPr>
            <w:tcW w:w="992" w:type="pct"/>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248400</w:t>
            </w:r>
          </w:p>
        </w:tc>
        <w:tc>
          <w:tcPr>
            <w:tcW w:w="454" w:type="pct"/>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条</w:t>
            </w:r>
          </w:p>
        </w:tc>
        <w:tc>
          <w:tcPr>
            <w:tcW w:w="1017" w:type="pct"/>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0.28</w:t>
            </w:r>
          </w:p>
        </w:tc>
        <w:tc>
          <w:tcPr>
            <w:tcW w:w="856" w:type="pct"/>
            <w:vMerge w:val="restar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76272</w:t>
            </w:r>
          </w:p>
        </w:tc>
      </w:tr>
      <w:tr w14:paraId="6A70BE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732" w:type="pct"/>
            <w:vMerge w:val="continue"/>
            <w:shd w:val="clear" w:color="auto" w:fill="auto"/>
            <w:vAlign w:val="center"/>
          </w:tcPr>
          <w:p w14:paraId="057A75DF">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p>
        </w:tc>
        <w:tc>
          <w:tcPr>
            <w:tcW w:w="946" w:type="pct"/>
            <w:vAlign w:val="center"/>
          </w:tcPr>
          <w:p w14:paraId="48B93E7B">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儿童腕带</w:t>
            </w:r>
          </w:p>
        </w:tc>
        <w:tc>
          <w:tcPr>
            <w:tcW w:w="992" w:type="pct"/>
            <w:vAlign w:val="center"/>
          </w:tcPr>
          <w:p w14:paraId="0A3F4B1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24000</w:t>
            </w:r>
          </w:p>
        </w:tc>
        <w:tc>
          <w:tcPr>
            <w:tcW w:w="454" w:type="pct"/>
            <w:vAlign w:val="center"/>
          </w:tcPr>
          <w:p w14:paraId="5EEB2450">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条</w:t>
            </w:r>
          </w:p>
        </w:tc>
        <w:tc>
          <w:tcPr>
            <w:tcW w:w="1017" w:type="pct"/>
            <w:vAlign w:val="center"/>
          </w:tcPr>
          <w:p w14:paraId="34F1BADB">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0.28</w:t>
            </w:r>
          </w:p>
        </w:tc>
        <w:tc>
          <w:tcPr>
            <w:tcW w:w="856" w:type="pct"/>
            <w:vMerge w:val="continue"/>
            <w:vAlign w:val="center"/>
          </w:tcPr>
          <w:p w14:paraId="22932F0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6ACE0191">
      <w:pPr>
        <w:pStyle w:val="26"/>
        <w:keepNext w:val="0"/>
        <w:keepLines w:val="0"/>
        <w:pageBreakBefore w:val="0"/>
        <w:widowControl/>
        <w:numPr>
          <w:ilvl w:val="0"/>
          <w:numId w:val="0"/>
        </w:numPr>
        <w:kinsoku/>
        <w:wordWrap/>
        <w:overflowPunct/>
        <w:topLinePunct w:val="0"/>
        <w:autoSpaceDE/>
        <w:autoSpaceDN/>
        <w:bidi w:val="0"/>
        <w:adjustRightInd/>
        <w:snapToGrid/>
        <w:spacing w:line="440" w:lineRule="exact"/>
        <w:textAlignment w:val="baseline"/>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备注：预估用量不做采购承诺，招采3年单价，合同期间以实际用量据实结算；本项目仅针对国产产品，不予接受进口产品响应。</w:t>
      </w:r>
    </w:p>
    <w:p w14:paraId="3AC97B9E">
      <w:pPr>
        <w:pStyle w:val="26"/>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4"/>
        <w:tblW w:w="108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5"/>
        <w:gridCol w:w="1411"/>
        <w:gridCol w:w="3933"/>
        <w:gridCol w:w="4513"/>
      </w:tblGrid>
      <w:tr w14:paraId="0A613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项目名称</w:t>
            </w:r>
          </w:p>
        </w:tc>
        <w:tc>
          <w:tcPr>
            <w:tcW w:w="3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193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lang w:eastAsia="zh-CN"/>
              </w:rPr>
            </w:pPr>
            <w:r>
              <w:rPr>
                <w:rFonts w:hint="eastAsia" w:ascii="方正仿宋_GBK" w:hAnsi="方正仿宋_GBK" w:eastAsia="方正仿宋_GBK" w:cs="方正仿宋_GBK"/>
                <w:b/>
                <w:bCs/>
                <w:i w:val="0"/>
                <w:iCs w:val="0"/>
                <w:color w:val="000000"/>
                <w:sz w:val="28"/>
                <w:szCs w:val="28"/>
                <w:highlight w:val="none"/>
                <w:u w:val="none"/>
                <w:lang w:eastAsia="zh-CN"/>
              </w:rPr>
              <w:t>规格</w:t>
            </w:r>
          </w:p>
        </w:tc>
        <w:tc>
          <w:tcPr>
            <w:tcW w:w="4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E70F">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参数要求</w:t>
            </w:r>
          </w:p>
        </w:tc>
      </w:tr>
      <w:tr w14:paraId="56D19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4" w:hRule="atLeast"/>
          <w:jc w:val="center"/>
        </w:trPr>
        <w:tc>
          <w:tcPr>
            <w:tcW w:w="965" w:type="dxa"/>
            <w:vMerge w:val="restart"/>
            <w:tcBorders>
              <w:top w:val="single" w:color="000000" w:sz="4" w:space="0"/>
              <w:left w:val="single" w:color="000000" w:sz="4" w:space="0"/>
              <w:right w:val="single" w:color="000000" w:sz="4" w:space="0"/>
            </w:tcBorders>
            <w:shd w:val="clear" w:color="auto" w:fill="auto"/>
            <w:vAlign w:val="center"/>
          </w:tcPr>
          <w:p w14:paraId="4D27563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bidi="ar-SA"/>
              </w:rPr>
              <w:t>病人腕带</w:t>
            </w:r>
          </w:p>
        </w:tc>
        <w:tc>
          <w:tcPr>
            <w:tcW w:w="1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A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成人腕带</w:t>
            </w:r>
          </w:p>
        </w:tc>
        <w:tc>
          <w:tcPr>
            <w:tcW w:w="3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968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尺寸L252mm*W32mm（±1mm）、打印区域尺寸L100mm*W29mm（±1mm）</w:t>
            </w:r>
          </w:p>
          <w:p w14:paraId="3BB5667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颜色可选</w:t>
            </w:r>
          </w:p>
        </w:tc>
        <w:tc>
          <w:tcPr>
            <w:tcW w:w="4513" w:type="dxa"/>
            <w:vMerge w:val="restart"/>
            <w:tcBorders>
              <w:top w:val="single" w:color="000000" w:sz="4" w:space="0"/>
              <w:left w:val="single" w:color="000000" w:sz="4" w:space="0"/>
              <w:right w:val="single" w:color="000000" w:sz="4" w:space="0"/>
            </w:tcBorders>
            <w:shd w:val="clear" w:color="auto" w:fill="auto"/>
            <w:vAlign w:val="center"/>
          </w:tcPr>
          <w:p w14:paraId="59DDF5A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1.材质要求：支持热敏打印，纳米硅胶材质，边缘柔软不割手;腕带接口采用一次性防拆带螺旋旋扣，产品打印字迹牢固不易脱落，具备防撕防篡改，佩戴安全防划伤，防水防酒精，对皮肤无刺激（提供有效的第三方检验报告）。</w:t>
            </w:r>
          </w:p>
          <w:p w14:paraId="0A043A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2.用途范围：用于住院患者身份识别佩戴使用</w:t>
            </w:r>
          </w:p>
          <w:p w14:paraId="4770522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3.组成结构：由腕带本体、螺旋旋扣组成</w:t>
            </w:r>
          </w:p>
          <w:p w14:paraId="2E5F7EC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4.需与院内现有热敏腕带打印机（斑马GK888T）配套使用</w:t>
            </w:r>
          </w:p>
        </w:tc>
      </w:tr>
      <w:tr w14:paraId="7F732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7" w:hRule="atLeast"/>
          <w:jc w:val="center"/>
        </w:trPr>
        <w:tc>
          <w:tcPr>
            <w:tcW w:w="965" w:type="dxa"/>
            <w:vMerge w:val="continue"/>
            <w:tcBorders>
              <w:left w:val="single" w:color="000000" w:sz="4" w:space="0"/>
              <w:bottom w:val="single" w:color="000000" w:sz="4" w:space="0"/>
              <w:right w:val="single" w:color="000000" w:sz="4" w:space="0"/>
            </w:tcBorders>
            <w:shd w:val="clear" w:color="auto" w:fill="auto"/>
            <w:vAlign w:val="center"/>
          </w:tcPr>
          <w:p w14:paraId="3236124B">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D0F6">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儿童腕带</w:t>
            </w:r>
          </w:p>
        </w:tc>
        <w:tc>
          <w:tcPr>
            <w:tcW w:w="3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C82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尺寸L220MM*W25MM（±1mm）、打印区域尺寸L80mm*W20mm（±1mm）</w:t>
            </w:r>
          </w:p>
          <w:p w14:paraId="4F1B51B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颜色可选</w:t>
            </w:r>
          </w:p>
        </w:tc>
        <w:tc>
          <w:tcPr>
            <w:tcW w:w="4513" w:type="dxa"/>
            <w:vMerge w:val="continue"/>
            <w:tcBorders>
              <w:left w:val="single" w:color="000000" w:sz="4" w:space="0"/>
              <w:bottom w:val="single" w:color="000000" w:sz="4" w:space="0"/>
              <w:right w:val="single" w:color="000000" w:sz="4" w:space="0"/>
            </w:tcBorders>
            <w:shd w:val="clear" w:color="auto" w:fill="auto"/>
            <w:vAlign w:val="center"/>
          </w:tcPr>
          <w:p w14:paraId="2199662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yellow"/>
          <w:lang w:val="en-US" w:eastAsia="zh-CN"/>
        </w:rPr>
      </w:pPr>
      <w:r>
        <w:rPr>
          <w:rFonts w:hint="eastAsia" w:ascii="方正仿宋_GBK" w:hAnsi="方正仿宋_GBK" w:eastAsia="方正仿宋_GBK" w:cs="方正仿宋_GBK"/>
          <w:b/>
          <w:bCs/>
          <w:color w:val="auto"/>
          <w:sz w:val="32"/>
          <w:szCs w:val="32"/>
          <w:highlight w:val="yellow"/>
          <w:lang w:val="en-US" w:eastAsia="zh-CN"/>
        </w:rPr>
        <w:t>特定资格条件：</w:t>
      </w:r>
    </w:p>
    <w:p w14:paraId="300DD80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29" w:leftChars="0" w:right="0" w:rightChars="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yellow"/>
          <w:lang w:val="en-US" w:eastAsia="zh-CN"/>
        </w:rPr>
      </w:pPr>
      <w:r>
        <w:rPr>
          <w:rFonts w:hint="eastAsia" w:ascii="方正仿宋_GBK" w:hAnsi="方正仿宋_GBK" w:eastAsia="方正仿宋_GBK" w:cs="方正仿宋_GBK"/>
          <w:b w:val="0"/>
          <w:bCs w:val="0"/>
          <w:color w:val="auto"/>
          <w:sz w:val="32"/>
          <w:szCs w:val="32"/>
          <w:highlight w:val="yellow"/>
          <w:lang w:val="en-US" w:eastAsia="zh-CN"/>
        </w:rPr>
        <w:t>若供应商提供产品被归类为医疗器械，供应商必须持有有效的《医疗器械经营许可证》或完成备案，且经营范围需包含所售设备类别 。</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本项目招采3年单价，</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包括但不限于货款、运输装卸、质保期维护保养费（含易损件更换）、资料装订及邮寄费、税费、保险费、验收检测费、信息系统对接接口费等完成本项目所需的一切费用</w:t>
      </w:r>
      <w:r>
        <w:rPr>
          <w:rFonts w:hint="default" w:ascii="方正仿宋_GBK" w:hAnsi="方正仿宋_GBK" w:eastAsia="方正仿宋_GBK" w:cs="方正仿宋_GBK"/>
          <w:color w:val="auto"/>
          <w:kern w:val="0"/>
          <w:sz w:val="32"/>
          <w:szCs w:val="32"/>
          <w:highlight w:val="none"/>
          <w:lang w:val="en-US" w:eastAsia="zh-CN"/>
        </w:rPr>
        <w:t>。</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。合同期内产品单价浮动15%以内单价不变，超过15%重新协商，协商不成重新招采。</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本项目要求供应商自中选后，在接到采购方通知后五个工作日内送到，紧急情况24小时内送货上门。在货源紧张时采购方享受优先供货权。</w:t>
      </w:r>
    </w:p>
    <w:p w14:paraId="5BA598E3">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样品要求</w:t>
      </w:r>
    </w:p>
    <w:p w14:paraId="086FA41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yellow"/>
          <w:lang w:val="en-US" w:eastAsia="zh-CN"/>
        </w:rPr>
        <w:t>供应商投标时须同时线下向采购人提供所投产品样品各100条（可提供两到三种颜色供采购人选择）</w:t>
      </w:r>
      <w:r>
        <w:rPr>
          <w:rFonts w:hint="eastAsia" w:ascii="方正仿宋_GBK" w:hAnsi="方正仿宋_GBK" w:eastAsia="方正仿宋_GBK" w:cs="方正仿宋_GBK"/>
          <w:color w:val="auto"/>
          <w:kern w:val="0"/>
          <w:sz w:val="32"/>
          <w:szCs w:val="32"/>
          <w:highlight w:val="none"/>
          <w:lang w:val="en-US" w:eastAsia="zh-CN"/>
        </w:rPr>
        <w:t>，采购方根据供应商报价从低到高排名依次试用。接收人采购办罗老师（电话：02341880277）。</w:t>
      </w:r>
    </w:p>
    <w:p w14:paraId="1B02B36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样品要求旨在查验产品是否与招标文件相符及有无其他质量问题，并以此作为双方签订合同的依据。样品查验后由采购方留存保管，供应商实际交付的产品需与样品保持一致，履约验收合格后退还或作为交付货物的一部分。如样品虽满足参数，但在实际试用中发现如易引起皮肤过敏、身份信息打印模糊或掉色等无法正常使用的，采购人将不予采购。</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（五）</w:t>
      </w:r>
      <w:r>
        <w:rPr>
          <w:rFonts w:hint="eastAsia" w:ascii="方正仿宋_GBK" w:hAnsi="方正仿宋_GBK" w:eastAsia="方正仿宋_GBK" w:cs="方正仿宋_GBK"/>
          <w:b/>
          <w:bCs/>
          <w:color w:val="auto"/>
          <w:sz w:val="32"/>
          <w:szCs w:val="32"/>
          <w:highlight w:val="none"/>
        </w:rPr>
        <w:t>付款方式</w:t>
      </w:r>
    </w:p>
    <w:p w14:paraId="1B590E9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按季度支付货款，付款时供应商提供合法发票、送货单等。如发现供应商提供虚假发票将把供应商列入院内不良记录供应商库，同时采购人有权拒绝支付发票内容的款项，并向有关部门进行举报。</w:t>
      </w:r>
    </w:p>
    <w:p w14:paraId="5846EBB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由于璧山区各行政事业单位账户统一在重庆市璧山区财政局开设，采购人验收合格完成支付审批流程后，需向财政局提交资金支付申请，由财政按相关制度逐级审批后完成支付。</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（六）验收方案</w:t>
      </w:r>
    </w:p>
    <w:p w14:paraId="68D169B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到货后确认产品规格、材质等参数符合招标文件要求作为初步验收，该批次产品使用无异常才作为最终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（七）售后服务</w:t>
      </w:r>
    </w:p>
    <w:p w14:paraId="3312033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（1）产品质保期不少于1年；保质期内非人为损坏免费更换。</w:t>
      </w:r>
    </w:p>
    <w:p w14:paraId="5A3682B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（2）产品到院时剩余有效期不得少于总效期的4/5，效期临近的免费更换。</w:t>
      </w:r>
    </w:p>
    <w:p w14:paraId="48A0FAB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（3）故障响应要求30分钟电话响应，4小时到达医院处置。</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供应商在签订合同之前向采购方缴纳履约保证金，保证金金额为供应商中标单价*预估使用量*10%，产品质量争议采购方有权要求供应商承担产品司法鉴定费用，拒绝承担的，采购方有权从履约保证金中抵扣。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供应商未按规定时限供货第一次承担500元违约金，第二次承担1000元违约金，第三次承担2000元违约金，</w:t>
      </w:r>
      <w:bookmarkStart w:id="7" w:name="_GoBack"/>
      <w:bookmarkEnd w:id="7"/>
      <w:r>
        <w:rPr>
          <w:rFonts w:hint="eastAsia" w:ascii="方正仿宋_GBK" w:hAnsi="方正仿宋_GBK" w:eastAsia="方正仿宋_GBK" w:cs="方正仿宋_GBK"/>
          <w:color w:val="auto"/>
          <w:kern w:val="0"/>
          <w:sz w:val="32"/>
          <w:szCs w:val="32"/>
          <w:highlight w:val="none"/>
          <w:lang w:val="en-US" w:eastAsia="zh-CN"/>
        </w:rPr>
        <w:t>一年内发生3次违约行为的，采购方有权单方面解除合同，并要求供应商承担合同发生总额30%的违约金。验收不合格或使用中发现产品质量缺陷，采购方有权要求供应商整改，整改期限为10日，整改期限届满仍未完成的，供应商每日支付合同发生总金额3‰的违约金，超过20日未能完成整改，采购方有权解除合同，并要求供应商承担合同发生总额30%的违约金，已经付款的，供应商应全款退还采购方已经支付的款项。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合同周期内出现3次及以上违约送货行为；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7032B4E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（9）如采购人发现供应商投标文件中出现围串标行为，投标响应供应商应配合采购人提供相应资料进行调查（包括响应原始文件WORD版本）。</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yellow"/>
          <w:lang w:eastAsia="zh-CN"/>
        </w:rPr>
      </w:pPr>
      <w:r>
        <w:rPr>
          <w:rFonts w:hint="eastAsia" w:ascii="方正仿宋_GBK" w:hAnsi="方正仿宋_GBK" w:eastAsia="方正仿宋_GBK" w:cs="方正仿宋_GBK"/>
          <w:color w:val="auto"/>
          <w:sz w:val="32"/>
          <w:szCs w:val="32"/>
          <w:highlight w:val="yellow"/>
        </w:rPr>
        <w:t>（二）特定资格条件</w:t>
      </w:r>
      <w:r>
        <w:rPr>
          <w:rFonts w:hint="eastAsia" w:ascii="方正仿宋_GBK" w:hAnsi="方正仿宋_GBK" w:eastAsia="方正仿宋_GBK" w:cs="方正仿宋_GBK"/>
          <w:color w:val="auto"/>
          <w:sz w:val="32"/>
          <w:szCs w:val="32"/>
          <w:highlight w:val="yellow"/>
          <w:lang w:eastAsia="zh-CN"/>
        </w:rPr>
        <w:t>：</w:t>
      </w:r>
    </w:p>
    <w:p w14:paraId="53794C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b w:val="0"/>
          <w:bCs w:val="0"/>
          <w:color w:val="auto"/>
          <w:sz w:val="32"/>
          <w:szCs w:val="32"/>
          <w:highlight w:val="yellow"/>
          <w:lang w:val="en-US" w:eastAsia="zh-CN"/>
        </w:rPr>
        <w:t>若供应商提供产品被归类为医疗器械，供应商必须持有有效的《医疗器械经营许可证》或完成备案，且经营范围需包含所售设备类别 。</w:t>
      </w: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229747"/>
      <w:bookmarkStart w:id="1" w:name="_Toc173677399"/>
      <w:bookmarkStart w:id="2" w:name="_Toc237057793"/>
      <w:bookmarkStart w:id="3" w:name="_Toc156196472"/>
      <w:bookmarkStart w:id="4" w:name="_Toc175017344"/>
      <w:bookmarkStart w:id="5" w:name="_Toc128014297"/>
      <w:bookmarkStart w:id="6" w:name="_Toc128229304"/>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10"/>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愿意按照询价采购文件中的一切要求，提供本项目的产品，按预估量报总价为人民币大写：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10"/>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10"/>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3BAEBCE1">
      <w:pPr>
        <w:jc w:val="center"/>
        <w:rPr>
          <w:rFonts w:ascii="微软雅黑" w:hAnsi="微软雅黑" w:eastAsia="微软雅黑" w:cs="微软雅黑"/>
          <w:b/>
          <w:bCs/>
          <w:sz w:val="32"/>
          <w:szCs w:val="32"/>
          <w:highlight w:val="none"/>
        </w:rPr>
      </w:pPr>
      <w:r>
        <w:rPr>
          <w:rFonts w:hint="eastAsia" w:ascii="方正仿宋_GBK" w:hAnsi="方正仿宋_GBK" w:eastAsia="方正仿宋_GBK" w:cs="方正仿宋_GBK"/>
          <w:sz w:val="32"/>
          <w:szCs w:val="32"/>
          <w:highlight w:val="none"/>
          <w:lang w:val="en-US" w:eastAsia="zh-CN"/>
        </w:rPr>
        <w:br w:type="page"/>
      </w:r>
      <w:r>
        <w:rPr>
          <w:rFonts w:hint="eastAsia" w:ascii="微软雅黑" w:hAnsi="微软雅黑" w:eastAsia="微软雅黑" w:cs="微软雅黑"/>
          <w:b/>
          <w:bCs/>
          <w:sz w:val="32"/>
          <w:szCs w:val="32"/>
          <w:highlight w:val="none"/>
        </w:rPr>
        <w:t>报价明细表</w:t>
      </w:r>
    </w:p>
    <w:tbl>
      <w:tblPr>
        <w:tblStyle w:val="14"/>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7"/>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2"/>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4"/>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4"/>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宋体"/>
          <w:sz w:val="30"/>
          <w:szCs w:val="30"/>
          <w:highlight w:val="none"/>
          <w:lang w:eastAsia="zh-CN"/>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ABADC3BC"/>
    <w:multiLevelType w:val="singleLevel"/>
    <w:tmpl w:val="ABADC3BC"/>
    <w:lvl w:ilvl="0" w:tentative="0">
      <w:start w:val="4"/>
      <w:numFmt w:val="chineseCounting"/>
      <w:suff w:val="nothing"/>
      <w:lvlText w:val="（%1）"/>
      <w:lvlJc w:val="left"/>
      <w:rPr>
        <w:rFonts w:hint="eastAsia"/>
      </w:rPr>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8"/>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723690"/>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5080B11"/>
    <w:rsid w:val="153C16E7"/>
    <w:rsid w:val="15D4217A"/>
    <w:rsid w:val="15D96BE2"/>
    <w:rsid w:val="1706559C"/>
    <w:rsid w:val="17E53404"/>
    <w:rsid w:val="18EC242C"/>
    <w:rsid w:val="1922346A"/>
    <w:rsid w:val="19380134"/>
    <w:rsid w:val="19402EE9"/>
    <w:rsid w:val="194D300E"/>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2027068C"/>
    <w:rsid w:val="205210D9"/>
    <w:rsid w:val="20746E51"/>
    <w:rsid w:val="20896382"/>
    <w:rsid w:val="20BC3722"/>
    <w:rsid w:val="212F6C8A"/>
    <w:rsid w:val="21426D4A"/>
    <w:rsid w:val="215F0650"/>
    <w:rsid w:val="22965A26"/>
    <w:rsid w:val="232F6FF2"/>
    <w:rsid w:val="233A4603"/>
    <w:rsid w:val="233D75DC"/>
    <w:rsid w:val="236757CC"/>
    <w:rsid w:val="23FB11F4"/>
    <w:rsid w:val="247973AD"/>
    <w:rsid w:val="2657371E"/>
    <w:rsid w:val="278860E5"/>
    <w:rsid w:val="27F531EF"/>
    <w:rsid w:val="28256D6A"/>
    <w:rsid w:val="28275AF0"/>
    <w:rsid w:val="28A234E4"/>
    <w:rsid w:val="28EC134D"/>
    <w:rsid w:val="29AE2A56"/>
    <w:rsid w:val="2AC402DE"/>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EF5DC8"/>
    <w:rsid w:val="2F2F3117"/>
    <w:rsid w:val="2FC44243"/>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284806"/>
    <w:rsid w:val="375A7F25"/>
    <w:rsid w:val="376E6279"/>
    <w:rsid w:val="38A14340"/>
    <w:rsid w:val="392F4087"/>
    <w:rsid w:val="396A2364"/>
    <w:rsid w:val="397A17A6"/>
    <w:rsid w:val="3996258D"/>
    <w:rsid w:val="3A6A181A"/>
    <w:rsid w:val="3A800389"/>
    <w:rsid w:val="3AA63CE5"/>
    <w:rsid w:val="3AE0279F"/>
    <w:rsid w:val="3B5000A4"/>
    <w:rsid w:val="3B9A5C1E"/>
    <w:rsid w:val="3C384E8C"/>
    <w:rsid w:val="3C735239"/>
    <w:rsid w:val="3D485EC4"/>
    <w:rsid w:val="3D8263F7"/>
    <w:rsid w:val="3D89119A"/>
    <w:rsid w:val="3DBB253E"/>
    <w:rsid w:val="3DC47F4A"/>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DBB5261"/>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D8739D"/>
    <w:rsid w:val="53DB6C22"/>
    <w:rsid w:val="53FB2F26"/>
    <w:rsid w:val="541D6876"/>
    <w:rsid w:val="54B6568B"/>
    <w:rsid w:val="55085A60"/>
    <w:rsid w:val="55A90FF1"/>
    <w:rsid w:val="55BB5978"/>
    <w:rsid w:val="55E24503"/>
    <w:rsid w:val="55F45FE4"/>
    <w:rsid w:val="5683561C"/>
    <w:rsid w:val="56A84D77"/>
    <w:rsid w:val="574216FD"/>
    <w:rsid w:val="586B764B"/>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2E6ABA"/>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607667"/>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49426A"/>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714560"/>
    <w:rsid w:val="7F8D69DE"/>
    <w:rsid w:val="7FA70494"/>
    <w:rsid w:val="7FBC4A80"/>
    <w:rsid w:val="7FE6629E"/>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Body Text Indent 2"/>
    <w:basedOn w:val="1"/>
    <w:qFormat/>
    <w:uiPriority w:val="0"/>
    <w:pPr>
      <w:snapToGrid w:val="0"/>
      <w:spacing w:line="560" w:lineRule="atLeast"/>
      <w:ind w:firstLine="540"/>
    </w:pPr>
  </w:style>
  <w:style w:type="paragraph" w:styleId="9">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10">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w:basedOn w:val="5"/>
    <w:next w:val="13"/>
    <w:qFormat/>
    <w:uiPriority w:val="0"/>
    <w:pPr>
      <w:spacing w:line="360" w:lineRule="auto"/>
      <w:ind w:firstLine="420"/>
    </w:pPr>
    <w:rPr>
      <w:rFonts w:ascii="宋体" w:hAnsi="宋体"/>
      <w:sz w:val="24"/>
    </w:rPr>
  </w:style>
  <w:style w:type="paragraph" w:styleId="13">
    <w:name w:val="Body Text First Indent 2"/>
    <w:basedOn w:val="6"/>
    <w:qFormat/>
    <w:uiPriority w:val="0"/>
    <w:pPr>
      <w:spacing w:after="120" w:afterLines="0" w:line="240" w:lineRule="auto"/>
      <w:ind w:left="420" w:leftChars="200"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9">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6"/>
    <w:qFormat/>
    <w:uiPriority w:val="0"/>
    <w:rPr>
      <w:rFonts w:ascii="楷体" w:hAnsi="楷体" w:eastAsia="楷体" w:cs="楷体"/>
      <w:color w:val="000000"/>
      <w:sz w:val="22"/>
      <w:szCs w:val="22"/>
      <w:u w:val="none"/>
      <w:vertAlign w:val="superscript"/>
    </w:rPr>
  </w:style>
  <w:style w:type="character" w:customStyle="1" w:styleId="22">
    <w:name w:val="font21"/>
    <w:basedOn w:val="16"/>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character" w:customStyle="1" w:styleId="28">
    <w:name w:val="font11"/>
    <w:basedOn w:val="16"/>
    <w:qFormat/>
    <w:uiPriority w:val="0"/>
    <w:rPr>
      <w:rFonts w:hint="eastAsia" w:ascii="宋体" w:hAnsi="宋体" w:eastAsia="宋体" w:cs="宋体"/>
      <w:color w:val="000000"/>
      <w:sz w:val="24"/>
      <w:szCs w:val="24"/>
      <w:u w:val="none"/>
    </w:rPr>
  </w:style>
  <w:style w:type="paragraph" w:customStyle="1" w:styleId="29">
    <w:name w:val="Table Text"/>
    <w:basedOn w:val="1"/>
    <w:semiHidden/>
    <w:qFormat/>
    <w:uiPriority w:val="0"/>
    <w:rPr>
      <w:rFonts w:ascii="宋体" w:hAnsi="宋体" w:eastAsia="宋体" w:cs="宋体"/>
      <w:sz w:val="26"/>
      <w:szCs w:val="26"/>
      <w:lang w:val="en-US" w:eastAsia="en-US" w:bidi="ar-SA"/>
    </w:rPr>
  </w:style>
  <w:style w:type="table" w:customStyle="1" w:styleId="30">
    <w:name w:val="Table Normal"/>
    <w:semiHidden/>
    <w:unhideWhenUsed/>
    <w:qFormat/>
    <w:uiPriority w:val="0"/>
    <w:tblPr>
      <w:tblCellMar>
        <w:top w:w="0" w:type="dxa"/>
        <w:left w:w="0" w:type="dxa"/>
        <w:bottom w:w="0" w:type="dxa"/>
        <w:right w:w="0" w:type="dxa"/>
      </w:tblCellMar>
    </w:tblPr>
  </w:style>
  <w:style w:type="character" w:customStyle="1" w:styleId="31">
    <w:name w:val="font61"/>
    <w:basedOn w:val="16"/>
    <w:qFormat/>
    <w:uiPriority w:val="0"/>
    <w:rPr>
      <w:rFonts w:hint="eastAsia" w:ascii="宋体" w:hAnsi="宋体" w:eastAsia="宋体" w:cs="宋体"/>
      <w:color w:val="000000"/>
      <w:sz w:val="20"/>
      <w:szCs w:val="20"/>
      <w:u w:val="none"/>
    </w:rPr>
  </w:style>
  <w:style w:type="character" w:customStyle="1" w:styleId="32">
    <w:name w:val="font51"/>
    <w:basedOn w:val="16"/>
    <w:qFormat/>
    <w:uiPriority w:val="0"/>
    <w:rPr>
      <w:rFonts w:hint="eastAsia" w:ascii="宋体" w:hAnsi="宋体" w:eastAsia="宋体" w:cs="宋体"/>
      <w:color w:val="000000"/>
      <w:sz w:val="20"/>
      <w:szCs w:val="20"/>
      <w:u w:val="none"/>
    </w:rPr>
  </w:style>
  <w:style w:type="character" w:customStyle="1" w:styleId="33">
    <w:name w:val="font71"/>
    <w:basedOn w:val="16"/>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6512</Words>
  <Characters>6777</Characters>
  <Lines>0</Lines>
  <Paragraphs>0</Paragraphs>
  <TotalTime>27</TotalTime>
  <ScaleCrop>false</ScaleCrop>
  <LinksUpToDate>false</LinksUpToDate>
  <CharactersWithSpaces>7329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2024-01-02T09:12:00Z</cp:lastPrinted>
  <dcterms:modified xsi:type="dcterms:W3CDTF">2026-08-29T00:30:28Z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B9E524718CF648F7B6A7F8211BCB7933_13</vt:lpwstr>
  </property>
  <property fmtid="{D5CDD505-2E9C-101B-9397-08002B2CF9AE}" pid="4" name="KSOTemplateDocerSaveRecord">
    <vt:lpwstr>eyJoZGlkIjoiZjllNzIxZDc2YmI1MDNjMzU4NWU3ZjdhNjk3N2E2OWYiLCJ1c2VySWQiOiIxNjE2MTQ1MTM5In0=</vt:lpwstr>
  </property>
</Properties>
</file>