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highlight w:val="none"/>
          <w:lang w:val="en-US" w:eastAsia="zh-CN"/>
        </w:rPr>
      </w:pPr>
    </w:p>
    <w:p w14:paraId="6B822749">
      <w:pPr>
        <w:rPr>
          <w:rFonts w:hint="eastAsia"/>
          <w:highlight w:val="none"/>
          <w:lang w:val="en-US" w:eastAsia="zh-CN"/>
        </w:rPr>
      </w:pPr>
    </w:p>
    <w:p w14:paraId="1AF09EFF">
      <w:pPr>
        <w:jc w:val="center"/>
        <w:rPr>
          <w:rFonts w:hint="eastAsia"/>
          <w:b/>
          <w:bCs/>
          <w:sz w:val="84"/>
          <w:szCs w:val="84"/>
          <w:highlight w:val="none"/>
          <w:lang w:val="en-US" w:eastAsia="zh-CN"/>
        </w:rPr>
      </w:pPr>
    </w:p>
    <w:p w14:paraId="3CCF2768">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668B94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9CB864">
      <w:pPr>
        <w:jc w:val="center"/>
        <w:rPr>
          <w:rFonts w:hint="eastAsia"/>
          <w:b/>
          <w:bCs/>
          <w:sz w:val="44"/>
          <w:szCs w:val="44"/>
          <w:highlight w:val="none"/>
          <w:lang w:val="en-US" w:eastAsia="zh-CN"/>
        </w:rPr>
      </w:pPr>
    </w:p>
    <w:p w14:paraId="2B9D3DFE">
      <w:pPr>
        <w:rPr>
          <w:rFonts w:hint="eastAsia"/>
          <w:sz w:val="32"/>
          <w:szCs w:val="32"/>
          <w:highlight w:val="none"/>
          <w:lang w:val="en-US" w:eastAsia="zh-CN"/>
        </w:rPr>
      </w:pPr>
    </w:p>
    <w:p w14:paraId="48824379">
      <w:pPr>
        <w:rPr>
          <w:rFonts w:hint="eastAsia"/>
          <w:sz w:val="32"/>
          <w:szCs w:val="32"/>
          <w:highlight w:val="none"/>
          <w:lang w:val="en-US" w:eastAsia="zh-CN"/>
        </w:rPr>
      </w:pPr>
    </w:p>
    <w:p w14:paraId="7A783359">
      <w:pPr>
        <w:rPr>
          <w:rFonts w:hint="eastAsia"/>
          <w:sz w:val="32"/>
          <w:szCs w:val="32"/>
          <w:highlight w:val="none"/>
          <w:lang w:val="en-US" w:eastAsia="zh-CN"/>
        </w:rPr>
      </w:pPr>
    </w:p>
    <w:p w14:paraId="6109D1C2">
      <w:pPr>
        <w:rPr>
          <w:rFonts w:hint="eastAsia"/>
          <w:sz w:val="32"/>
          <w:szCs w:val="32"/>
          <w:highlight w:val="none"/>
          <w:lang w:val="en-US" w:eastAsia="zh-CN"/>
        </w:rPr>
      </w:pPr>
    </w:p>
    <w:p w14:paraId="690E037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项目名称：萎缩性胃炎/肠化生/胃癌 10x Genomics3’单细胞测序及分析（第二次）</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项目编号：BSRMYY-YNCG-2025-09018</w:t>
      </w:r>
      <w:bookmarkStart w:id="7" w:name="_GoBack"/>
      <w:bookmarkEnd w:id="7"/>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D59933">
      <w:pPr>
        <w:rPr>
          <w:rFonts w:hint="eastAsia"/>
          <w:sz w:val="44"/>
          <w:szCs w:val="44"/>
          <w:highlight w:val="none"/>
          <w:lang w:val="en-US" w:eastAsia="zh-CN"/>
        </w:rPr>
      </w:pPr>
      <w:r>
        <w:rPr>
          <w:rFonts w:hint="eastAsia"/>
          <w:sz w:val="44"/>
          <w:szCs w:val="44"/>
          <w:highlight w:val="none"/>
          <w:lang w:val="en-US" w:eastAsia="zh-CN"/>
        </w:rPr>
        <w:br w:type="page"/>
      </w:r>
    </w:p>
    <w:p w14:paraId="0978794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918220D">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543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51"/>
        <w:gridCol w:w="3088"/>
        <w:gridCol w:w="2415"/>
        <w:gridCol w:w="2512"/>
        <w:gridCol w:w="2049"/>
      </w:tblGrid>
      <w:tr w14:paraId="7124C4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04" w:type="pct"/>
            <w:vAlign w:val="center"/>
          </w:tcPr>
          <w:p w14:paraId="1F25FC84">
            <w:pPr>
              <w:jc w:val="lef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序号</w:t>
            </w:r>
          </w:p>
        </w:tc>
        <w:tc>
          <w:tcPr>
            <w:tcW w:w="1441" w:type="pct"/>
            <w:vAlign w:val="center"/>
          </w:tcPr>
          <w:p w14:paraId="0B9D0F75">
            <w:pPr>
              <w:jc w:val="center"/>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项目名称</w:t>
            </w:r>
          </w:p>
        </w:tc>
        <w:tc>
          <w:tcPr>
            <w:tcW w:w="1127" w:type="pct"/>
            <w:vAlign w:val="center"/>
          </w:tcPr>
          <w:p w14:paraId="25D9F3E7">
            <w:pPr>
              <w:jc w:val="center"/>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预估总量（个）</w:t>
            </w:r>
          </w:p>
        </w:tc>
        <w:tc>
          <w:tcPr>
            <w:tcW w:w="1172" w:type="pct"/>
            <w:vAlign w:val="center"/>
          </w:tcPr>
          <w:p w14:paraId="59D6DD72">
            <w:pPr>
              <w:jc w:val="center"/>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单价限价（元）</w:t>
            </w:r>
          </w:p>
        </w:tc>
        <w:tc>
          <w:tcPr>
            <w:tcW w:w="954" w:type="pct"/>
            <w:vAlign w:val="center"/>
          </w:tcPr>
          <w:p w14:paraId="3EE55F2C">
            <w:pPr>
              <w:jc w:val="center"/>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服务期（年）</w:t>
            </w:r>
          </w:p>
        </w:tc>
      </w:tr>
      <w:tr w14:paraId="3786A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65" w:hRule="atLeast"/>
          <w:jc w:val="center"/>
        </w:trPr>
        <w:tc>
          <w:tcPr>
            <w:tcW w:w="304" w:type="pct"/>
            <w:vAlign w:val="center"/>
          </w:tcPr>
          <w:p w14:paraId="566A2BCF">
            <w:pPr>
              <w:pStyle w:val="26"/>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1</w:t>
            </w:r>
          </w:p>
        </w:tc>
        <w:tc>
          <w:tcPr>
            <w:tcW w:w="1441" w:type="pct"/>
            <w:vAlign w:val="center"/>
          </w:tcPr>
          <w:p w14:paraId="6D2CD2D0">
            <w:pPr>
              <w:jc w:val="left"/>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萎缩性胃炎/肠化生/胃癌 10x Genomics3’单细胞测序及分析</w:t>
            </w:r>
          </w:p>
        </w:tc>
        <w:tc>
          <w:tcPr>
            <w:tcW w:w="1127" w:type="pct"/>
            <w:vAlign w:val="center"/>
          </w:tcPr>
          <w:p w14:paraId="335B1890">
            <w:pPr>
              <w:jc w:val="center"/>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8</w:t>
            </w:r>
          </w:p>
        </w:tc>
        <w:tc>
          <w:tcPr>
            <w:tcW w:w="1172" w:type="pct"/>
            <w:vAlign w:val="center"/>
          </w:tcPr>
          <w:p w14:paraId="1F428D26">
            <w:pPr>
              <w:jc w:val="center"/>
              <w:rPr>
                <w:rFonts w:hint="default" w:ascii="方正仿宋_GBK" w:hAnsi="方正仿宋_GBK" w:eastAsia="方正仿宋_GBK" w:cs="方正仿宋_GBK"/>
                <w:b/>
                <w:bCs/>
                <w:kern w:val="0"/>
                <w:sz w:val="30"/>
                <w:szCs w:val="30"/>
                <w:highlight w:val="none"/>
                <w:lang w:val="en-US" w:eastAsia="zh-CN" w:bidi="ar-SA"/>
              </w:rPr>
            </w:pPr>
            <w:r>
              <w:rPr>
                <w:rFonts w:hint="default" w:ascii="方正仿宋_GBK" w:hAnsi="方正仿宋_GBK" w:eastAsia="方正仿宋_GBK" w:cs="方正仿宋_GBK"/>
                <w:b/>
                <w:bCs/>
                <w:kern w:val="0"/>
                <w:sz w:val="30"/>
                <w:szCs w:val="30"/>
                <w:highlight w:val="none"/>
                <w:lang w:val="en-US" w:eastAsia="zh-CN" w:bidi="ar-SA"/>
              </w:rPr>
              <w:t>12000</w:t>
            </w:r>
          </w:p>
        </w:tc>
        <w:tc>
          <w:tcPr>
            <w:tcW w:w="954" w:type="pct"/>
            <w:vAlign w:val="center"/>
          </w:tcPr>
          <w:p w14:paraId="4DBDD554">
            <w:pPr>
              <w:jc w:val="center"/>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2</w:t>
            </w:r>
          </w:p>
        </w:tc>
      </w:tr>
      <w:tr w14:paraId="0EA0C2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000" w:type="pct"/>
            <w:gridSpan w:val="5"/>
            <w:vAlign w:val="center"/>
          </w:tcPr>
          <w:p w14:paraId="4B5B9266">
            <w:pPr>
              <w:jc w:val="right"/>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按预估总量合计总价为96000元</w:t>
            </w:r>
          </w:p>
        </w:tc>
      </w:tr>
    </w:tbl>
    <w:p w14:paraId="2725D67F">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28"/>
          <w:szCs w:val="28"/>
          <w:highlight w:val="none"/>
          <w:lang w:val="en-US" w:eastAsia="zh-CN"/>
        </w:rPr>
        <w:t>备注：本项目招采2年单价，预估量不做采购承诺，以实际验收用量据实结算。</w:t>
      </w:r>
    </w:p>
    <w:p w14:paraId="550A0A2D">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技术要求（需全部满足）</w:t>
      </w:r>
    </w:p>
    <w:tbl>
      <w:tblPr>
        <w:tblStyle w:val="14"/>
        <w:tblW w:w="531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2"/>
        <w:gridCol w:w="2291"/>
        <w:gridCol w:w="7386"/>
      </w:tblGrid>
      <w:tr w14:paraId="0704C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78" w:type="pct"/>
            <w:vAlign w:val="center"/>
          </w:tcPr>
          <w:p w14:paraId="2A12B4EE">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1094" w:type="pct"/>
            <w:vAlign w:val="center"/>
          </w:tcPr>
          <w:p w14:paraId="35A4EE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名称</w:t>
            </w:r>
          </w:p>
        </w:tc>
        <w:tc>
          <w:tcPr>
            <w:tcW w:w="3527" w:type="pct"/>
            <w:vAlign w:val="center"/>
          </w:tcPr>
          <w:p w14:paraId="4472D0B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0D60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3" w:hRule="atLeast"/>
          <w:jc w:val="center"/>
        </w:trPr>
        <w:tc>
          <w:tcPr>
            <w:tcW w:w="378" w:type="pct"/>
            <w:shd w:val="clear" w:color="auto" w:fill="auto"/>
            <w:vAlign w:val="center"/>
          </w:tcPr>
          <w:p w14:paraId="117D9A07">
            <w:pPr>
              <w:pStyle w:val="26"/>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sz w:val="28"/>
                <w:szCs w:val="28"/>
                <w:highlight w:val="none"/>
                <w:lang w:val="en-US" w:eastAsia="zh-CN"/>
              </w:rPr>
              <w:t>1</w:t>
            </w:r>
          </w:p>
        </w:tc>
        <w:tc>
          <w:tcPr>
            <w:tcW w:w="1094" w:type="pct"/>
            <w:shd w:val="clear" w:color="auto" w:fill="auto"/>
            <w:vAlign w:val="center"/>
          </w:tcPr>
          <w:p w14:paraId="34447689">
            <w:pPr>
              <w:jc w:val="left"/>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萎缩性胃炎/肠化生/胃癌 10x Genomics3’单细胞测序及分析</w:t>
            </w:r>
          </w:p>
        </w:tc>
        <w:tc>
          <w:tcPr>
            <w:tcW w:w="3527" w:type="pct"/>
            <w:shd w:val="clear" w:color="auto" w:fill="auto"/>
            <w:vAlign w:val="center"/>
          </w:tcPr>
          <w:p w14:paraId="44A2A0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10x单细胞3’转录组测序使用双端测序PE150；</w:t>
            </w:r>
          </w:p>
          <w:p w14:paraId="0E824C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color w:val="FF0000"/>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测序量：20k reads/cell，</w:t>
            </w:r>
            <w:r>
              <w:rPr>
                <w:rFonts w:hint="eastAsia" w:ascii="方正仿宋_GBK" w:hAnsi="方正仿宋_GBK" w:eastAsia="方正仿宋_GBK" w:cs="方正仿宋_GBK"/>
                <w:b/>
                <w:bCs/>
                <w:color w:val="auto"/>
                <w:kern w:val="2"/>
                <w:sz w:val="28"/>
                <w:szCs w:val="28"/>
                <w:highlight w:val="none"/>
                <w:lang w:val="en-US" w:eastAsia="zh-CN" w:bidi="ar-SA"/>
              </w:rPr>
              <w:t>100G/sample测序量；</w:t>
            </w:r>
          </w:p>
          <w:p w14:paraId="7B669A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原始数据质控预处理软件：10x genomics官方软件Cell Ranger；</w:t>
            </w:r>
          </w:p>
          <w:p w14:paraId="6FE023D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基因比对软件：STAR (Spliced Transcripts Alignment to a Reference)；</w:t>
            </w:r>
          </w:p>
          <w:p w14:paraId="3038705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基因定量后质控数据标准化处理包：Seurat；</w:t>
            </w:r>
          </w:p>
          <w:p w14:paraId="737D3F1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分析内容包括但不限于：测序数据质量评估；基因定量质控；去除批次效应（可选）；降维聚类和可视化；Marker 基因鉴定与可视化；细胞类型鉴定；差异基因表达分析；差异基因功能分析；差异基因集富集分析；细胞亚群鉴定；拟时序分析；细胞间通讯；转录因子调控网络等，根据上述服务内容提供单细胞检测分析报告，后续根据采购人需求提供个性化数据分析并交付报告。</w:t>
            </w:r>
          </w:p>
        </w:tc>
      </w:tr>
    </w:tbl>
    <w:p w14:paraId="58CC3E6E">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商务需求：（需全部满足）</w:t>
      </w:r>
    </w:p>
    <w:p w14:paraId="6C003BDC">
      <w:pPr>
        <w:pStyle w:val="27"/>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59EBBD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6DC44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p>
    <w:p w14:paraId="43DDD1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CF485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0896000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5DA07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A0646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3F13B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p>
    <w:p w14:paraId="5586AE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1.提供2024年至今1份类似项目的合同及发票/验收记录；</w:t>
      </w:r>
    </w:p>
    <w:p w14:paraId="4386141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2.提供完成本项目所需的人员、实验室相关的资质，配套设备、耗材的合格证、注册证或备案证（如没有可提供出厂质检报告）等；</w:t>
      </w:r>
    </w:p>
    <w:p w14:paraId="702D4EF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3.其他法律法规有关规范。</w:t>
      </w:r>
    </w:p>
    <w:p w14:paraId="6C6BF728">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44A29FC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本项目招采2年单价。报价要求：按照每个样品单价进行报价，报价包含但不限于项目服务费、配套设备辅材费、资料装订及邮寄费、税费、保险费、保密费、验收检测费等完成本项目所需的一切费用。因成交供应商自身原因造成漏报、少报皆由其自行承担责任，采购人不再补偿。供应商所报价格不得超过采购人限价，否则视为无效报价。</w:t>
      </w:r>
    </w:p>
    <w:p w14:paraId="16E1FAE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（三）合同签订及服务期限</w:t>
      </w:r>
    </w:p>
    <w:p w14:paraId="4A4CEAE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11B5B90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kern w:val="0"/>
          <w:sz w:val="32"/>
          <w:szCs w:val="32"/>
          <w:highlight w:val="none"/>
          <w:lang w:val="en-US" w:eastAsia="zh-CN"/>
        </w:rPr>
        <w:t>收到样本后，3个月内完成测序、测序数据分析、个性化数据分析、数据分析报告交付。最长2年时间完成项目要求的所有服务内容。</w:t>
      </w:r>
    </w:p>
    <w:p w14:paraId="2AE5A1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（四）付款方式</w:t>
      </w:r>
    </w:p>
    <w:p w14:paraId="20B2C9D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val="0"/>
          <w:bCs w:val="0"/>
          <w:color w:val="auto"/>
          <w:kern w:val="0"/>
          <w:sz w:val="32"/>
          <w:szCs w:val="32"/>
          <w:highlight w:val="none"/>
          <w:lang w:val="en-US" w:eastAsia="zh-CN"/>
        </w:rPr>
        <w:t>验收合格后，供应商提供验收记录、发票等资料，采购人全额支付。</w:t>
      </w:r>
    </w:p>
    <w:p w14:paraId="15EB73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（五）验收方式</w:t>
      </w:r>
    </w:p>
    <w:p w14:paraId="5EF3C11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供应商完成每次交付后，按照采购招投标文件要求逐项验收，采用</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数据分析报告作为主要验收依据，以采购人出具服务验收证明作为最终验收。验收产生争议或验收后第三方对数据产生合理质疑</w:t>
      </w:r>
      <w:r>
        <w:rPr>
          <w:rFonts w:hint="eastAsia" w:ascii="方正仿宋_GBK" w:hAnsi="方正仿宋_GBK" w:eastAsia="方正仿宋_GBK" w:cs="方正仿宋_GBK"/>
          <w:b w:val="0"/>
          <w:bCs w:val="0"/>
          <w:color w:val="auto"/>
          <w:kern w:val="0"/>
          <w:sz w:val="32"/>
          <w:szCs w:val="32"/>
          <w:highlight w:val="none"/>
          <w:lang w:val="en-US" w:eastAsia="zh-CN"/>
        </w:rPr>
        <w:t>由采购人邀请第三方机构检测，费用由供应商承担。</w:t>
      </w:r>
    </w:p>
    <w:p w14:paraId="7066D06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（六）服务效果考核标准</w:t>
      </w:r>
    </w:p>
    <w:p w14:paraId="2E9A419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每个样本10x Genomics 3’单细胞转录组提供测序后原始数据100G（不少于承诺数据量的90%），碱基质量大于20（Q20）的比例不小于90%。</w:t>
      </w:r>
    </w:p>
    <w:p w14:paraId="3104B1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（七）知识产权</w:t>
      </w:r>
    </w:p>
    <w:p w14:paraId="6A57361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在中华人民共和国境内使用成交供应商提供的服务内容时免受第三方提出的侵犯其专利权或其它知识产权的起诉。如果第三方提出侵权指控，成交供应商应承担由此而引起的一切法律责任和费用。本项目完成后的数据归采购人所有，未经采购人许可不得泄漏给第三方。</w:t>
      </w:r>
    </w:p>
    <w:p w14:paraId="4025A65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（八）配套服务</w:t>
      </w:r>
    </w:p>
    <w:p w14:paraId="7C840B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（1）电话咨询</w:t>
      </w:r>
    </w:p>
    <w:p w14:paraId="62FF38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成交供应商应当为采购人提供技术援助电话，在30分钟内响应解答采购人在使用中遇到的问题，及时为采购人提出解决问题的建议。</w:t>
      </w:r>
    </w:p>
    <w:p w14:paraId="3F5CE7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（2）保密要求</w:t>
      </w:r>
    </w:p>
    <w:p w14:paraId="20D387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未经采购人允许，不得将服务内容提供给第三方。</w:t>
      </w:r>
    </w:p>
    <w:p w14:paraId="4776B6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（3）数据溯源</w:t>
      </w:r>
    </w:p>
    <w:p w14:paraId="20C02A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任何时候，采购人或第三方对数据真实性提出质疑时，供应商应提供客观检测措施对数据结果进行溯源。</w:t>
      </w:r>
    </w:p>
    <w:p w14:paraId="3019787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（九）违约责任</w:t>
      </w:r>
    </w:p>
    <w:p w14:paraId="75709EE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未按采购人要求时限交付服务内容，每延迟1日，供应商应向采购人支付合同总金额千分之三的违约金，超过30日未能交付，采购人有权单方面解除合同；项目验收不合格或使用中发现服务质量缺陷，采购人有权要求供应商整改，整改期限为10日，整改期限届满仍未完成的供应商每日支付合同总金额千分之三的违约金，超过20日未能完成整改，采购人有权解除合同；未按配套服务要求提供服务的，供应商将承担200元/次的违约金。</w:t>
      </w:r>
    </w:p>
    <w:p w14:paraId="3810BCD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供应商及其服务发生泄漏检测数据及患者隐私的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A0763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出现检测内容虚假、数据分析错误、供应商拒绝履约等由于</w:t>
      </w:r>
      <w:r>
        <w:rPr>
          <w:rFonts w:hint="eastAsia" w:ascii="方正仿宋_GBK" w:hAnsi="方正仿宋_GBK" w:eastAsia="方正仿宋_GBK" w:cs="方正仿宋_GBK"/>
          <w:b w:val="0"/>
          <w:bCs w:val="0"/>
          <w:color w:val="auto"/>
          <w:kern w:val="0"/>
          <w:sz w:val="32"/>
          <w:szCs w:val="32"/>
          <w:highlight w:val="none"/>
          <w:lang w:val="en-US" w:eastAsia="zh-CN"/>
        </w:rPr>
        <w:t>供应商及其服务原因造成采购人损失的，</w:t>
      </w:r>
      <w:r>
        <w:rPr>
          <w:rFonts w:hint="eastAsia" w:ascii="方正仿宋_GBK" w:hAnsi="方正仿宋_GBK" w:eastAsia="方正仿宋_GBK" w:cs="方正仿宋_GBK"/>
          <w:color w:val="auto"/>
          <w:kern w:val="0"/>
          <w:sz w:val="32"/>
          <w:szCs w:val="32"/>
          <w:highlight w:val="none"/>
          <w:lang w:val="en-US" w:eastAsia="zh-CN"/>
        </w:rPr>
        <w:t>供应商应赔偿对采购人造成的直接和间接损失全额损失。</w:t>
      </w:r>
      <w:r>
        <w:rPr>
          <w:rFonts w:hint="eastAsia" w:ascii="方正仿宋_GBK" w:hAnsi="方正仿宋_GBK" w:eastAsia="方正仿宋_GBK" w:cs="方正仿宋_GBK"/>
          <w:color w:val="auto"/>
          <w:sz w:val="32"/>
          <w:szCs w:val="32"/>
          <w:highlight w:val="none"/>
          <w:lang w:val="en-US" w:eastAsia="zh-CN"/>
        </w:rPr>
        <w:t>合同履行期间发生争议，协商无果由重庆市璧山区人民法院裁决。</w:t>
      </w:r>
    </w:p>
    <w:p w14:paraId="3B6FEF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（十）中选标准</w:t>
      </w:r>
    </w:p>
    <w:p w14:paraId="33FF5D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4E77F22F">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（十一）其他要求</w:t>
      </w:r>
    </w:p>
    <w:p w14:paraId="2DEABB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或质保期响应不及时等影响采购人正常工作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5304A0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51AAF05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12.项目服务方案（应具体到标本接收运输管理、检测进度计划、项目阶段性沟通、人员设备安排、保密措施等）</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13</w:t>
      </w:r>
      <w:r>
        <w:rPr>
          <w:rFonts w:hint="eastAsia" w:ascii="仿宋_GB2312" w:hAnsi="宋体" w:eastAsia="仿宋_GB2312" w:cs="宋体"/>
          <w:kern w:val="2"/>
          <w:sz w:val="32"/>
          <w:szCs w:val="32"/>
          <w:highlight w:val="none"/>
          <w:lang w:val="en-US" w:eastAsia="zh-CN" w:bidi="ar-SA"/>
        </w:rPr>
        <w:t>.投标廉政承诺书</w:t>
      </w:r>
    </w:p>
    <w:p w14:paraId="1C913CAD">
      <w:pPr>
        <w:rPr>
          <w:rFonts w:hint="eastAsia"/>
          <w:highlight w:val="none"/>
          <w:lang w:val="en-US" w:eastAsia="zh-CN"/>
        </w:rPr>
      </w:pPr>
    </w:p>
    <w:p w14:paraId="251F0151">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D15061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91B6925">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3CAC701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726A6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D52E99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1.提供2024年至今1份类似项目的合同及发票/验收记录；</w:t>
      </w:r>
    </w:p>
    <w:p w14:paraId="3F2F655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2.提供完成本项目所需的人员、实验室相关的资质，配套设备、耗材的合格证、注册证或备案证（如没有可提供出厂质检报告）等；</w:t>
      </w:r>
    </w:p>
    <w:p w14:paraId="4F09BF5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3.其他法律法规有关规范。</w:t>
      </w:r>
    </w:p>
    <w:p w14:paraId="5AB5AAF7">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3E07AD1C">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213119B7">
      <w:pPr>
        <w:jc w:val="center"/>
        <w:rPr>
          <w:rFonts w:ascii="方正小标宋_GBK" w:hAnsi="方正小标宋_GBK" w:eastAsia="方正小标宋_GBK" w:cs="方正小标宋_GBK"/>
          <w:sz w:val="40"/>
          <w:szCs w:val="40"/>
          <w:highlight w:val="none"/>
        </w:rPr>
      </w:pPr>
    </w:p>
    <w:p w14:paraId="601E886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F047435">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6FCA86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55C020A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EBFF1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51BB740">
      <w:pPr>
        <w:ind w:firstLine="600" w:firstLineChars="200"/>
        <w:rPr>
          <w:rFonts w:ascii="微软雅黑" w:hAnsi="微软雅黑" w:eastAsia="微软雅黑" w:cs="微软雅黑"/>
          <w:sz w:val="30"/>
          <w:szCs w:val="30"/>
          <w:highlight w:val="none"/>
        </w:rPr>
      </w:pPr>
    </w:p>
    <w:p w14:paraId="0AD837F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984205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46F797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0703544">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B259131">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51744B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EA5FA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50C3B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1050B5F">
      <w:pPr>
        <w:spacing w:line="594" w:lineRule="exact"/>
        <w:ind w:firstLine="600" w:firstLineChars="200"/>
        <w:rPr>
          <w:rFonts w:hint="eastAsia" w:ascii="微软雅黑" w:hAnsi="微软雅黑" w:eastAsia="微软雅黑"/>
          <w:sz w:val="30"/>
          <w:szCs w:val="30"/>
          <w:highlight w:val="none"/>
        </w:rPr>
      </w:pPr>
    </w:p>
    <w:p w14:paraId="01380D8A">
      <w:pPr>
        <w:spacing w:line="594" w:lineRule="exact"/>
        <w:ind w:firstLine="600" w:firstLineChars="200"/>
        <w:rPr>
          <w:rFonts w:hint="eastAsia" w:ascii="微软雅黑" w:hAnsi="微软雅黑" w:eastAsia="微软雅黑"/>
          <w:sz w:val="30"/>
          <w:szCs w:val="30"/>
          <w:highlight w:val="none"/>
        </w:rPr>
      </w:pPr>
    </w:p>
    <w:p w14:paraId="32744D7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7EA1D7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9739773">
      <w:pPr>
        <w:spacing w:line="594" w:lineRule="exact"/>
        <w:ind w:firstLine="640" w:firstLineChars="200"/>
        <w:rPr>
          <w:rFonts w:hint="eastAsia" w:ascii="方正仿宋_GBK" w:eastAsia="方正仿宋_GBK"/>
          <w:sz w:val="32"/>
          <w:szCs w:val="32"/>
          <w:highlight w:val="none"/>
        </w:rPr>
      </w:pPr>
    </w:p>
    <w:p w14:paraId="3B7E87C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1CE8A15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014297"/>
      <w:bookmarkStart w:id="1" w:name="_Toc156196472"/>
      <w:bookmarkStart w:id="2" w:name="_Toc173677399"/>
      <w:bookmarkStart w:id="3" w:name="_Toc175017344"/>
      <w:bookmarkStart w:id="4" w:name="_Toc128229304"/>
      <w:bookmarkStart w:id="5" w:name="_Toc128229747"/>
      <w:bookmarkStart w:id="6" w:name="_Toc237057793"/>
    </w:p>
    <w:p w14:paraId="6EB84F7D">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D227DB6">
      <w:pPr>
        <w:rPr>
          <w:rFonts w:hint="eastAsia" w:ascii="仿宋_GB2312" w:hAnsi="Arial" w:eastAsia="仿宋_GB2312" w:cstheme="minorBidi"/>
          <w:b/>
          <w:color w:val="auto"/>
          <w:kern w:val="2"/>
          <w:sz w:val="28"/>
          <w:szCs w:val="28"/>
          <w:highlight w:val="none"/>
          <w:lang w:val="en-US" w:eastAsia="zh-CN" w:bidi="ar-SA"/>
        </w:rPr>
      </w:pPr>
    </w:p>
    <w:p w14:paraId="13835B1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191ED7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7FC9955B">
      <w:pPr>
        <w:pStyle w:val="9"/>
        <w:numPr>
          <w:ilvl w:val="0"/>
          <w:numId w:val="5"/>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愿意按照询价采购文件中的一切要求，提供本项目的服务，按照每个样品单价报价为人民币大写：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w:t>
      </w:r>
    </w:p>
    <w:p w14:paraId="3785074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7C24943D">
      <w:pPr>
        <w:rPr>
          <w:rFonts w:hint="eastAsia" w:ascii="微软雅黑" w:hAnsi="微软雅黑" w:eastAsia="微软雅黑"/>
          <w:b/>
          <w:bCs/>
          <w:sz w:val="32"/>
          <w:szCs w:val="32"/>
          <w:highlight w:val="none"/>
        </w:rPr>
      </w:pPr>
      <w:r>
        <w:rPr>
          <w:rFonts w:hint="eastAsia" w:ascii="方正仿宋_GBK" w:hAnsi="方正仿宋_GBK" w:eastAsia="方正仿宋_GBK" w:cs="方正仿宋_GBK"/>
          <w:sz w:val="32"/>
          <w:szCs w:val="32"/>
          <w:highlight w:val="none"/>
          <w:lang w:val="en-US" w:eastAsia="zh-CN"/>
        </w:rPr>
        <w:br w:type="page"/>
      </w: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4908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1ACABC9">
            <w:pPr>
              <w:spacing w:line="594" w:lineRule="exact"/>
              <w:ind w:firstLine="556" w:firstLineChars="200"/>
              <w:rPr>
                <w:rFonts w:hint="eastAsia" w:ascii="方正仿宋_GBK" w:eastAsia="方正仿宋_GBK"/>
                <w:sz w:val="30"/>
                <w:szCs w:val="30"/>
                <w:highlight w:val="none"/>
              </w:rPr>
            </w:pP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6"/>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70C8F67D">
      <w:pPr>
        <w:numPr>
          <w:ilvl w:val="0"/>
          <w:numId w:val="6"/>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5E99A7EF">
      <w:pPr>
        <w:spacing w:line="594" w:lineRule="exact"/>
        <w:ind w:firstLine="596" w:firstLineChars="200"/>
        <w:rPr>
          <w:rFonts w:hint="eastAsia" w:ascii="方正仿宋_GBK" w:eastAsia="方正仿宋_GBK"/>
          <w:sz w:val="32"/>
          <w:szCs w:val="32"/>
          <w:highlight w:val="none"/>
        </w:rPr>
      </w:pPr>
    </w:p>
    <w:p w14:paraId="268CE2E4">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656FCE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highlight w:val="none"/>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highlight w:val="none"/>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highlight w:val="none"/>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highlight w:val="none"/>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highlight w:val="none"/>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highlight w:val="none"/>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highlight w:val="none"/>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highlight w:val="none"/>
              </w:rPr>
            </w:pPr>
          </w:p>
        </w:tc>
      </w:tr>
    </w:tbl>
    <w:p w14:paraId="06B41339">
      <w:pPr>
        <w:spacing w:line="594" w:lineRule="exact"/>
        <w:ind w:firstLine="556" w:firstLineChars="200"/>
        <w:rPr>
          <w:rFonts w:hint="eastAsia" w:ascii="微软雅黑" w:hAnsi="微软雅黑" w:eastAsia="微软雅黑"/>
          <w:sz w:val="30"/>
          <w:szCs w:val="30"/>
          <w:highlight w:val="none"/>
        </w:rPr>
      </w:pPr>
    </w:p>
    <w:p w14:paraId="05B6F9B0">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D4D9BFE">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本项目其他采购人的业绩资料（如合同或发票等）。</w:t>
      </w:r>
    </w:p>
    <w:p w14:paraId="4ACD48E7">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B342572">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5F9D816F">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投标服务相关资料（如资质证明等）</w:t>
      </w:r>
    </w:p>
    <w:p w14:paraId="7B2E5811">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配套</w:t>
      </w:r>
      <w:r>
        <w:rPr>
          <w:rFonts w:hint="eastAsia" w:ascii="方正仿宋_GBK" w:hAnsi="方正仿宋_GBK" w:eastAsia="方正仿宋_GBK" w:cs="方正仿宋_GBK"/>
          <w:b/>
          <w:bCs/>
          <w:sz w:val="32"/>
          <w:szCs w:val="32"/>
          <w:highlight w:val="none"/>
        </w:rPr>
        <w:t>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___WRD_EMBED_SUB_53"/>
          <w:sz w:val="30"/>
          <w:szCs w:val="30"/>
          <w:highlight w:val="none"/>
        </w:rPr>
        <w:t>等）</w:t>
      </w:r>
    </w:p>
    <w:p w14:paraId="0EECF930">
      <w:pPr>
        <w:rPr>
          <w:rFonts w:hint="eastAsia" w:ascii="仿宋_GB2312" w:eastAsia="仿宋_GB2312" w:cs="宋体"/>
          <w:color w:val="auto"/>
          <w:sz w:val="32"/>
          <w:szCs w:val="32"/>
          <w:highlight w:val="none"/>
          <w:lang w:val="en-US" w:eastAsia="zh-CN"/>
        </w:rPr>
      </w:pPr>
    </w:p>
    <w:p w14:paraId="7ECFAA6F">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64D4D3B3">
      <w:pPr>
        <w:pStyle w:val="5"/>
        <w:jc w:val="both"/>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kern w:val="2"/>
          <w:sz w:val="32"/>
          <w:szCs w:val="32"/>
          <w:highlight w:val="none"/>
          <w:lang w:val="en-US" w:eastAsia="zh-CN" w:bidi="ar-SA"/>
        </w:rPr>
        <w:t>项目服务方案（应具体到标本接收运输管理、检测进度计划、项目阶段性沟通、人员设备安排、保密措施等）</w:t>
      </w:r>
    </w:p>
    <w:p w14:paraId="24D85696">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3C43D937">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5BC50E">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4F909946">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39B091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16796E28"/>
    <w:multiLevelType w:val="singleLevel"/>
    <w:tmpl w:val="16796E28"/>
    <w:lvl w:ilvl="0" w:tentative="0">
      <w:start w:val="2"/>
      <w:numFmt w:val="chineseCounting"/>
      <w:suff w:val="nothing"/>
      <w:lvlText w:val="%1、"/>
      <w:lvlJc w:val="left"/>
      <w:rPr>
        <w:rFonts w:hint="eastAsia"/>
      </w:r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398A57CF"/>
    <w:multiLevelType w:val="singleLevel"/>
    <w:tmpl w:val="398A57CF"/>
    <w:lvl w:ilvl="0" w:tentative="0">
      <w:start w:val="1"/>
      <w:numFmt w:val="decimal"/>
      <w:suff w:val="nothing"/>
      <w:lvlText w:val="%1．"/>
      <w:lvlJc w:val="left"/>
    </w:lvl>
  </w:abstractNum>
  <w:abstractNum w:abstractNumId="4">
    <w:nsid w:val="593E016B"/>
    <w:multiLevelType w:val="singleLevel"/>
    <w:tmpl w:val="593E016B"/>
    <w:lvl w:ilvl="0" w:tentative="0">
      <w:start w:val="1"/>
      <w:numFmt w:val="chineseCounting"/>
      <w:suff w:val="nothing"/>
      <w:lvlText w:val="%1、"/>
      <w:lvlJc w:val="left"/>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3CE68FB"/>
    <w:rsid w:val="041961A8"/>
    <w:rsid w:val="04C70F47"/>
    <w:rsid w:val="056E5276"/>
    <w:rsid w:val="06FB539B"/>
    <w:rsid w:val="07F82B6D"/>
    <w:rsid w:val="09604328"/>
    <w:rsid w:val="0BCE4B39"/>
    <w:rsid w:val="0C872834"/>
    <w:rsid w:val="0C974041"/>
    <w:rsid w:val="0CB1115F"/>
    <w:rsid w:val="0CE64C8D"/>
    <w:rsid w:val="0D5C636E"/>
    <w:rsid w:val="0E440BB0"/>
    <w:rsid w:val="0E6637FD"/>
    <w:rsid w:val="0E6753E5"/>
    <w:rsid w:val="0E9F1F75"/>
    <w:rsid w:val="0F3D73C4"/>
    <w:rsid w:val="0FAB7A71"/>
    <w:rsid w:val="0FD01451"/>
    <w:rsid w:val="10945E1E"/>
    <w:rsid w:val="122D0B62"/>
    <w:rsid w:val="133D5E0A"/>
    <w:rsid w:val="17772668"/>
    <w:rsid w:val="1922346A"/>
    <w:rsid w:val="19375EE1"/>
    <w:rsid w:val="1A1C7FE3"/>
    <w:rsid w:val="1AAE2C67"/>
    <w:rsid w:val="1AF86BE0"/>
    <w:rsid w:val="1B3306B6"/>
    <w:rsid w:val="1BDE0896"/>
    <w:rsid w:val="1CF00EFC"/>
    <w:rsid w:val="1F2F00AB"/>
    <w:rsid w:val="20746E51"/>
    <w:rsid w:val="21426D4A"/>
    <w:rsid w:val="229A0B71"/>
    <w:rsid w:val="236757CC"/>
    <w:rsid w:val="23FB11F4"/>
    <w:rsid w:val="26541E80"/>
    <w:rsid w:val="29AE2A56"/>
    <w:rsid w:val="29F1586C"/>
    <w:rsid w:val="2C3529EE"/>
    <w:rsid w:val="2CC37769"/>
    <w:rsid w:val="2F2F3117"/>
    <w:rsid w:val="2FC44243"/>
    <w:rsid w:val="31092EA8"/>
    <w:rsid w:val="33FB61AD"/>
    <w:rsid w:val="342C6BC9"/>
    <w:rsid w:val="35761799"/>
    <w:rsid w:val="357C2FC3"/>
    <w:rsid w:val="376E6279"/>
    <w:rsid w:val="38A14340"/>
    <w:rsid w:val="396A2364"/>
    <w:rsid w:val="3A2C5456"/>
    <w:rsid w:val="3A8A6AFB"/>
    <w:rsid w:val="3B5B7766"/>
    <w:rsid w:val="3D8263F7"/>
    <w:rsid w:val="3E9F6BB4"/>
    <w:rsid w:val="40611EDD"/>
    <w:rsid w:val="439873F8"/>
    <w:rsid w:val="442069E9"/>
    <w:rsid w:val="44C5770F"/>
    <w:rsid w:val="44EF71C4"/>
    <w:rsid w:val="45170BAD"/>
    <w:rsid w:val="45EF05E5"/>
    <w:rsid w:val="475D7492"/>
    <w:rsid w:val="482D6FF9"/>
    <w:rsid w:val="49470D20"/>
    <w:rsid w:val="496140CE"/>
    <w:rsid w:val="4AA416B0"/>
    <w:rsid w:val="4AE139DB"/>
    <w:rsid w:val="4B782C5C"/>
    <w:rsid w:val="4BDB0A24"/>
    <w:rsid w:val="4C31315D"/>
    <w:rsid w:val="4E3B1140"/>
    <w:rsid w:val="4F6D75ED"/>
    <w:rsid w:val="51352B6B"/>
    <w:rsid w:val="53A17F68"/>
    <w:rsid w:val="53DB6C22"/>
    <w:rsid w:val="55085A60"/>
    <w:rsid w:val="57744314"/>
    <w:rsid w:val="5DBD061A"/>
    <w:rsid w:val="5E932E93"/>
    <w:rsid w:val="5FA4498B"/>
    <w:rsid w:val="61130716"/>
    <w:rsid w:val="61143219"/>
    <w:rsid w:val="61706C74"/>
    <w:rsid w:val="61707CCC"/>
    <w:rsid w:val="61A6052D"/>
    <w:rsid w:val="626B6216"/>
    <w:rsid w:val="637666C3"/>
    <w:rsid w:val="63814C5E"/>
    <w:rsid w:val="649966D5"/>
    <w:rsid w:val="67CF5844"/>
    <w:rsid w:val="68232A19"/>
    <w:rsid w:val="69D01878"/>
    <w:rsid w:val="6A1F4430"/>
    <w:rsid w:val="6B247663"/>
    <w:rsid w:val="6D1F523E"/>
    <w:rsid w:val="6D38732A"/>
    <w:rsid w:val="6DD05A39"/>
    <w:rsid w:val="6EC6360F"/>
    <w:rsid w:val="6F9A2F0D"/>
    <w:rsid w:val="6FB940CF"/>
    <w:rsid w:val="6FD812EB"/>
    <w:rsid w:val="70237F96"/>
    <w:rsid w:val="713118C3"/>
    <w:rsid w:val="71C02C3F"/>
    <w:rsid w:val="71ED09FB"/>
    <w:rsid w:val="72BB5C94"/>
    <w:rsid w:val="732B3BA9"/>
    <w:rsid w:val="73C21B9F"/>
    <w:rsid w:val="74D3615F"/>
    <w:rsid w:val="776F2BCE"/>
    <w:rsid w:val="77991C4E"/>
    <w:rsid w:val="77FA34D6"/>
    <w:rsid w:val="78024143"/>
    <w:rsid w:val="799B64FC"/>
    <w:rsid w:val="7AF0174A"/>
    <w:rsid w:val="7BDE27F0"/>
    <w:rsid w:val="7C6F2CF1"/>
    <w:rsid w:val="7C765833"/>
    <w:rsid w:val="7E192908"/>
    <w:rsid w:val="7EE67CE4"/>
    <w:rsid w:val="7FA7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6447</Words>
  <Characters>6769</Characters>
  <Lines>0</Lines>
  <Paragraphs>0</Paragraphs>
  <TotalTime>0</TotalTime>
  <ScaleCrop>false</ScaleCrop>
  <LinksUpToDate>false</LinksUpToDate>
  <CharactersWithSpaces>7374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2025-09-28T07:05:07Z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CE9D5840DD0C42DBA7277E0172C8442B_13</vt:lpwstr>
  </property>
  <property fmtid="{D5CDD505-2E9C-101B-9397-08002B2CF9AE}" pid="4" name="KSOTemplateDocerSaveRecord">
    <vt:lpwstr>eyJoZGlkIjoiNzdkNTM4MTkwYTE0Yjk0Y2Y4MjVlZDcwOGViZTQwYjIiLCJ1c2VySWQiOiIxMTc2NDE1MTk0In0=</vt:lpwstr>
  </property>
</Properties>
</file>