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项目名称：预防接种电子核签系统等</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项目编号：BSRMYY-YNCG-2024-04002</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8.质保及售后服务承诺。</w:t>
      </w:r>
    </w:p>
    <w:p>
      <w:pPr>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10.</w:t>
      </w:r>
      <w:r>
        <w:rPr>
          <w:rFonts w:hint="eastAsia" w:ascii="仿宋_GB2312" w:hAnsi="宋体" w:eastAsia="仿宋_GB2312" w:cs="宋体"/>
          <w:color w:val="auto"/>
          <w:sz w:val="32"/>
          <w:szCs w:val="32"/>
          <w:lang w:val="en-US" w:eastAsia="zh-CN"/>
        </w:rPr>
        <w:t>投标廉政承诺。</w:t>
      </w:r>
    </w:p>
    <w:p>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11.密封档案袋格式要求。</w:t>
      </w:r>
    </w:p>
    <w:p>
      <w:pPr>
        <w:ind w:left="0" w:leftChars="0" w:firstLine="420" w:firstLineChars="200"/>
        <w:rPr>
          <w:rFonts w:hint="default"/>
          <w:lang w:val="en-US" w:eastAsia="zh-CN"/>
        </w:rPr>
      </w:pP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1.公司营业执照（须圈出符合资质要求的经营范围和有效期）</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7"/>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894"/>
        <w:gridCol w:w="5373"/>
        <w:gridCol w:w="1036"/>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488" w:type="dxa"/>
            <w:gridSpan w:val="5"/>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32"/>
                <w:szCs w:val="32"/>
                <w:lang w:val="en-US" w:eastAsia="zh-CN"/>
              </w:rPr>
              <w:t>一、采购人需求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488" w:type="dxa"/>
            <w:gridSpan w:val="5"/>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（一）技术参数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61"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1894"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产品名称</w:t>
            </w:r>
          </w:p>
        </w:tc>
        <w:tc>
          <w:tcPr>
            <w:tcW w:w="5373"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参数要求</w:t>
            </w:r>
            <w:r>
              <w:rPr>
                <w:rFonts w:hint="eastAsia" w:ascii="Times New Roman" w:hAnsi="Times New Roman" w:eastAsia="仿宋" w:cs="Times New Roman"/>
                <w:b/>
                <w:bCs w:val="0"/>
                <w:kern w:val="0"/>
                <w:sz w:val="24"/>
                <w:szCs w:val="24"/>
                <w:lang w:val="en-US" w:eastAsia="zh-CN"/>
              </w:rPr>
              <w:t>（须完全响应）</w:t>
            </w:r>
          </w:p>
        </w:tc>
        <w:tc>
          <w:tcPr>
            <w:tcW w:w="1036"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eastAsia="zh-CN"/>
              </w:rPr>
              <w:t>数量（项）</w:t>
            </w:r>
          </w:p>
        </w:tc>
        <w:tc>
          <w:tcPr>
            <w:tcW w:w="1624"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最高单价（万元）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w:t>
            </w: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方正仿宋_GBK" w:hAnsi="方正仿宋_GBK" w:eastAsia="微软雅黑" w:cs="方正仿宋_GBK"/>
                <w:b w:val="0"/>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预防接种电子核签系统</w:t>
            </w:r>
          </w:p>
        </w:tc>
        <w:tc>
          <w:tcPr>
            <w:tcW w:w="53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1.与重庆市预防接种客户端系统无缝对接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2.支持不同岗位使用（询问台和登记台）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3.支持询问内容电子核签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4.支持知情同意书电子核签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5.支持多疫苗知情同意书核签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6.支持不同的确认方式（启用指纹和电子签名方式）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7.系统支持签字或者指纹历史查看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8.支持上传至重庆市免疫规划信息管理系统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★系统需实现与重庆市免疫规划信息管理系统无缝对接，能够通过重庆市免疫规划信息系统发布预防接种电子核签系统升级程序，不得影响预防接种电子核签系统的正常使用。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★系统需实现与重庆市免疫规划信息管理系统和预防接种客户端的数据联通，不得给医护人员带来重复录入工作量，如门诊时，不得出现重庆预防接种客户端和核签系统中需要分别录入疫苗品种等信息。</w:t>
            </w:r>
          </w:p>
        </w:tc>
        <w:tc>
          <w:tcPr>
            <w:tcW w:w="1036" w:type="dxa"/>
            <w:vAlign w:val="center"/>
          </w:tcPr>
          <w:p>
            <w:pPr>
              <w:keepNext w:val="0"/>
              <w:keepLines w:val="0"/>
              <w:widowControl/>
              <w:suppressLineNumbers w:val="0"/>
              <w:jc w:val="center"/>
              <w:textAlignment w:val="center"/>
              <w:rPr>
                <w:rFonts w:hint="default" w:ascii="方正仿宋_GBK" w:hAnsi="方正仿宋_GBK" w:eastAsia="方正仿宋_GBK" w:cs="方正仿宋_GBK"/>
                <w:bCs/>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1624" w:type="dxa"/>
            <w:vAlign w:val="center"/>
          </w:tcPr>
          <w:p>
            <w:pPr>
              <w:keepNext w:val="0"/>
              <w:keepLines w:val="0"/>
              <w:widowControl/>
              <w:suppressLineNumbers w:val="0"/>
              <w:jc w:val="center"/>
              <w:textAlignment w:val="center"/>
              <w:rPr>
                <w:rFonts w:hint="eastAsia" w:ascii="方正仿宋_GBK" w:hAnsi="方正仿宋_GBK" w:eastAsia="方正仿宋_GBK" w:cs="方正仿宋_GBK"/>
                <w:bCs/>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 xml:space="preserve">0.750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2</w:t>
            </w: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方正仿宋_GBK" w:hAnsi="方正仿宋_GBK" w:eastAsia="微软雅黑" w:cs="方正仿宋_GBK"/>
                <w:b w:val="0"/>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疫苗接种告知确认系统</w:t>
            </w:r>
          </w:p>
        </w:tc>
        <w:tc>
          <w:tcPr>
            <w:tcW w:w="53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1.与重庆市预防接种客户端系统（犬伤系统）无缝对接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2.支持同时显示多个疫苗的信息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3.支持自动判断疫苗是否一致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4.支持异常信息显示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5.支持历史信息查看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6.支持质控环节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7.支持自行配置界面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8.支持显示拍摄的图片供受种者和医生查看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★系统实现与重庆市免疫规划信息管理系统无缝对接，重庆市免疫规划信息系统升级时，疫苗接种告知确认系统必须同步升级，不得影响疫苗告知核验工作的正常进行。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★系统需实现与重庆市免疫规划信息管理系统和预防接种客户端的数据联通，不得给医护人员带来重复录入工作量，如门诊时，不得出现重庆预防接种客户端和告知系统中需要重复录入疫苗品种、厂家等信息。</w:t>
            </w:r>
          </w:p>
        </w:tc>
        <w:tc>
          <w:tcPr>
            <w:tcW w:w="1036" w:type="dxa"/>
            <w:vAlign w:val="center"/>
          </w:tcPr>
          <w:p>
            <w:pPr>
              <w:keepNext w:val="0"/>
              <w:keepLines w:val="0"/>
              <w:widowControl/>
              <w:suppressLineNumbers w:val="0"/>
              <w:jc w:val="center"/>
              <w:textAlignment w:val="center"/>
              <w:rPr>
                <w:rFonts w:hint="default" w:ascii="方正仿宋_GBK" w:hAnsi="方正仿宋_GBK" w:eastAsia="方正仿宋_GBK" w:cs="方正仿宋_GBK"/>
                <w:bCs/>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3</w:t>
            </w:r>
          </w:p>
        </w:tc>
        <w:tc>
          <w:tcPr>
            <w:tcW w:w="1624" w:type="dxa"/>
            <w:vAlign w:val="center"/>
          </w:tcPr>
          <w:p>
            <w:pPr>
              <w:keepNext w:val="0"/>
              <w:keepLines w:val="0"/>
              <w:widowControl/>
              <w:suppressLineNumbers w:val="0"/>
              <w:jc w:val="center"/>
              <w:textAlignment w:val="center"/>
              <w:rPr>
                <w:rFonts w:hint="eastAsia" w:ascii="方正仿宋_GBK" w:hAnsi="方正仿宋_GBK" w:eastAsia="方正仿宋_GBK" w:cs="方正仿宋_GBK"/>
                <w:bCs/>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 xml:space="preserve">0.720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3</w:t>
            </w: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方正仿宋_GBK" w:hAnsi="方正仿宋_GBK" w:eastAsia="微软雅黑" w:cs="方正仿宋_GBK"/>
                <w:b w:val="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留观大屏</w:t>
            </w:r>
          </w:p>
        </w:tc>
        <w:tc>
          <w:tcPr>
            <w:tcW w:w="53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CPU架构四核A55存储内存16GB系统Android背光方式直下式/DLEDWIFI频段2.4G智能语音助手其他运行内存/RAM2GB</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USB2.0接口数2个 HDMI2.0接口数2个</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宽1226mm；高779mm；厚253mm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屏幕尺寸55英寸</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屏幕分辨率超高清4K</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含挂架</w:t>
            </w:r>
          </w:p>
        </w:tc>
        <w:tc>
          <w:tcPr>
            <w:tcW w:w="1036" w:type="dxa"/>
            <w:vAlign w:val="center"/>
          </w:tcPr>
          <w:p>
            <w:pPr>
              <w:keepNext w:val="0"/>
              <w:keepLines w:val="0"/>
              <w:widowControl/>
              <w:suppressLineNumbers w:val="0"/>
              <w:jc w:val="center"/>
              <w:textAlignment w:val="center"/>
              <w:rPr>
                <w:rFonts w:hint="default" w:ascii="方正仿宋_GBK" w:hAnsi="方正仿宋_GBK" w:eastAsia="方正仿宋_GBK" w:cs="方正仿宋_GBK"/>
                <w:bCs/>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1624" w:type="dxa"/>
            <w:vAlign w:val="center"/>
          </w:tcPr>
          <w:p>
            <w:pPr>
              <w:keepNext w:val="0"/>
              <w:keepLines w:val="0"/>
              <w:widowControl/>
              <w:suppressLineNumbers w:val="0"/>
              <w:jc w:val="center"/>
              <w:textAlignment w:val="center"/>
              <w:rPr>
                <w:rFonts w:hint="eastAsia" w:ascii="方正仿宋_GBK" w:hAnsi="方正仿宋_GBK" w:eastAsia="方正仿宋_GBK" w:cs="方正仿宋_GBK"/>
                <w:bCs/>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 xml:space="preserve">0.550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4</w:t>
            </w: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方正仿宋_GBK" w:hAnsi="方正仿宋_GBK" w:eastAsia="微软雅黑" w:cs="方正仿宋_GBK"/>
                <w:b w:val="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儿保大屏</w:t>
            </w:r>
          </w:p>
        </w:tc>
        <w:tc>
          <w:tcPr>
            <w:tcW w:w="53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CPU架构四核A55存储内存16GB系统Android背光方式直下式/DLEDWIFI频段2.4G智能语音助手其他运行内存/RAM2GB</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USB2.0接口数2个 HDMI2.0接口数2个</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宽1226mm；高779mm；厚253mm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屏幕尺寸55英寸</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屏幕分辨率超高清4K</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含挂架</w:t>
            </w:r>
          </w:p>
        </w:tc>
        <w:tc>
          <w:tcPr>
            <w:tcW w:w="1036" w:type="dxa"/>
            <w:vAlign w:val="center"/>
          </w:tcPr>
          <w:p>
            <w:pPr>
              <w:keepNext w:val="0"/>
              <w:keepLines w:val="0"/>
              <w:widowControl/>
              <w:suppressLineNumbers w:val="0"/>
              <w:jc w:val="center"/>
              <w:textAlignment w:val="center"/>
              <w:rPr>
                <w:rFonts w:hint="default" w:ascii="方正仿宋_GBK" w:hAnsi="方正仿宋_GBK" w:eastAsia="方正仿宋_GBK" w:cs="方正仿宋_GBK"/>
                <w:bCs/>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1624" w:type="dxa"/>
            <w:vAlign w:val="center"/>
          </w:tcPr>
          <w:p>
            <w:pPr>
              <w:keepNext w:val="0"/>
              <w:keepLines w:val="0"/>
              <w:widowControl/>
              <w:suppressLineNumbers w:val="0"/>
              <w:jc w:val="center"/>
              <w:textAlignment w:val="center"/>
              <w:rPr>
                <w:rFonts w:hint="eastAsia" w:ascii="方正仿宋_GBK" w:hAnsi="方正仿宋_GBK" w:eastAsia="方正仿宋_GBK" w:cs="方正仿宋_GBK"/>
                <w:bCs/>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 xml:space="preserve">0.550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5</w:t>
            </w: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方正仿宋_GBK" w:hAnsi="方正仿宋_GBK" w:eastAsia="微软雅黑" w:cs="方正仿宋_GBK"/>
                <w:b w:val="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登记小屏</w:t>
            </w:r>
          </w:p>
        </w:tc>
        <w:tc>
          <w:tcPr>
            <w:tcW w:w="53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尺寸 23.8英寸</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屏幕比例 16:9</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接口类型 VGA,HDMI</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面板类型 VA</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亮度 200cd/m2</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典型对比度 5000:1</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分辨率 1920×1080</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刷新率 60Hz</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水平可视角度 178度</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垂直可视角度 178度</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色域 72%NTSC色域覆盖、77%DCI-P3色域覆盖、99%sRGB色域覆盖</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色数 16.7百万色</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支持壁挂 是</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壁挂尺寸 75×75mm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外观设计 黑色</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外观尺寸 541.2×411.4×180mm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重量 2.7kg</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含吊架</w:t>
            </w:r>
          </w:p>
        </w:tc>
        <w:tc>
          <w:tcPr>
            <w:tcW w:w="1036" w:type="dxa"/>
            <w:vAlign w:val="center"/>
          </w:tcPr>
          <w:p>
            <w:pPr>
              <w:keepNext w:val="0"/>
              <w:keepLines w:val="0"/>
              <w:widowControl/>
              <w:suppressLineNumbers w:val="0"/>
              <w:jc w:val="center"/>
              <w:textAlignment w:val="center"/>
              <w:rPr>
                <w:rFonts w:hint="default" w:ascii="方正仿宋_GBK" w:hAnsi="方正仿宋_GBK" w:eastAsia="方正仿宋_GBK" w:cs="方正仿宋_GBK"/>
                <w:bCs/>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3</w:t>
            </w:r>
          </w:p>
        </w:tc>
        <w:tc>
          <w:tcPr>
            <w:tcW w:w="1624" w:type="dxa"/>
            <w:vAlign w:val="center"/>
          </w:tcPr>
          <w:p>
            <w:pPr>
              <w:keepNext w:val="0"/>
              <w:keepLines w:val="0"/>
              <w:widowControl/>
              <w:suppressLineNumbers w:val="0"/>
              <w:jc w:val="center"/>
              <w:textAlignment w:val="center"/>
              <w:rPr>
                <w:rFonts w:hint="eastAsia" w:ascii="方正仿宋_GBK" w:hAnsi="方正仿宋_GBK" w:eastAsia="方正仿宋_GBK" w:cs="方正仿宋_GBK"/>
                <w:bCs/>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 xml:space="preserve">0.135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6</w:t>
            </w: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方正仿宋_GBK" w:hAnsi="方正仿宋_GBK" w:eastAsia="微软雅黑" w:cs="方正仿宋_GBK"/>
                <w:b w:val="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接种小屏</w:t>
            </w:r>
          </w:p>
        </w:tc>
        <w:tc>
          <w:tcPr>
            <w:tcW w:w="53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尺寸 23.8英寸</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屏幕比例 16:9</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接口类型 VGA,HDMI</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面板类型 VA</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亮度 200cd/m2</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典型对比度 5000:1</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分辨率 1920×1080</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刷新率 60Hz</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水平可视角度 178度</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垂直可视角度 178度</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色域 72%NTSC色域覆盖、77%DCI-P3色域覆盖、99%sRGB色域覆盖</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色数 16.7百万色</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支持壁挂 是</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壁挂尺寸 75×75mm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外观设计 黑色</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外观尺寸 541.2×411.4×180mm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重量 2.7kg</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含吊架</w:t>
            </w:r>
          </w:p>
        </w:tc>
        <w:tc>
          <w:tcPr>
            <w:tcW w:w="1036" w:type="dxa"/>
            <w:vAlign w:val="center"/>
          </w:tcPr>
          <w:p>
            <w:pPr>
              <w:keepNext w:val="0"/>
              <w:keepLines w:val="0"/>
              <w:widowControl/>
              <w:suppressLineNumbers w:val="0"/>
              <w:jc w:val="center"/>
              <w:textAlignment w:val="center"/>
              <w:rPr>
                <w:rFonts w:hint="default" w:ascii="方正仿宋_GBK" w:hAnsi="方正仿宋_GBK" w:eastAsia="方正仿宋_GBK" w:cs="方正仿宋_GBK"/>
                <w:bCs/>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3</w:t>
            </w:r>
          </w:p>
        </w:tc>
        <w:tc>
          <w:tcPr>
            <w:tcW w:w="1624" w:type="dxa"/>
            <w:vAlign w:val="center"/>
          </w:tcPr>
          <w:p>
            <w:pPr>
              <w:keepNext w:val="0"/>
              <w:keepLines w:val="0"/>
              <w:widowControl/>
              <w:suppressLineNumbers w:val="0"/>
              <w:jc w:val="center"/>
              <w:textAlignment w:val="center"/>
              <w:rPr>
                <w:rFonts w:hint="eastAsia" w:ascii="方正仿宋_GBK" w:hAnsi="方正仿宋_GBK" w:eastAsia="方正仿宋_GBK" w:cs="方正仿宋_GBK"/>
                <w:bCs/>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 xml:space="preserve">0.135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7</w:t>
            </w: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方正仿宋_GBK" w:hAnsi="方正仿宋_GBK" w:eastAsia="微软雅黑" w:cs="方正仿宋_GBK"/>
                <w:b w:val="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儿保小屏</w:t>
            </w:r>
          </w:p>
        </w:tc>
        <w:tc>
          <w:tcPr>
            <w:tcW w:w="53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尺寸 23.8英寸</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屏幕比例 16:9</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接口类型 VGA,HDMI</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面板类型 VA</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亮度 200cd/m2</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典型对比度 5000:1</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分辨率 1920×1080</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刷新率 60Hz</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水平可视角度 178度</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垂直可视角度 178度</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色域 72%NTSC色域覆盖、77%DCI-P3色域覆盖、99%sRGB色域覆盖</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色数 16.7百万色</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支持壁挂 是</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壁挂尺寸 75×75mm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外观设计 黑色</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外观尺寸 541.2×411.4×180mm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重量 2.7kg</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含吊架</w:t>
            </w:r>
          </w:p>
        </w:tc>
        <w:tc>
          <w:tcPr>
            <w:tcW w:w="1036" w:type="dxa"/>
            <w:vAlign w:val="center"/>
          </w:tcPr>
          <w:p>
            <w:pPr>
              <w:keepNext w:val="0"/>
              <w:keepLines w:val="0"/>
              <w:widowControl/>
              <w:suppressLineNumbers w:val="0"/>
              <w:jc w:val="center"/>
              <w:textAlignment w:val="center"/>
              <w:rPr>
                <w:rFonts w:hint="default" w:ascii="方正仿宋_GBK" w:hAnsi="方正仿宋_GBK" w:eastAsia="方正仿宋_GBK" w:cs="方正仿宋_GBK"/>
                <w:bCs/>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4</w:t>
            </w:r>
          </w:p>
        </w:tc>
        <w:tc>
          <w:tcPr>
            <w:tcW w:w="1624" w:type="dxa"/>
            <w:vAlign w:val="center"/>
          </w:tcPr>
          <w:p>
            <w:pPr>
              <w:keepNext w:val="0"/>
              <w:keepLines w:val="0"/>
              <w:widowControl/>
              <w:suppressLineNumbers w:val="0"/>
              <w:jc w:val="center"/>
              <w:textAlignment w:val="center"/>
              <w:rPr>
                <w:rFonts w:hint="eastAsia" w:ascii="方正仿宋_GBK" w:hAnsi="方正仿宋_GBK" w:eastAsia="方正仿宋_GBK" w:cs="方正仿宋_GBK"/>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0.135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8</w:t>
            </w: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方正仿宋_GBK" w:hAnsi="方正仿宋_GBK" w:eastAsia="微软雅黑" w:cs="方正仿宋_GBK"/>
                <w:b w:val="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网格机顶盒</w:t>
            </w:r>
          </w:p>
        </w:tc>
        <w:tc>
          <w:tcPr>
            <w:tcW w:w="53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机顶盒安装需接种台显示系统，登记台显示系统，接种候诊显示系统、留观信息显示系统四大显示系统能与重庆市免疫规划信息管理系统无缝对接，重庆市免疫规划信息系统升级时，相关显示系统系统必须同步升级，不得影响系统的正常进行</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蓝牙版本蓝牙4.0</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HDR解码HDR10</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解码能力4K 30FPS</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音频解码DTS；Dolby Audio</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处理器品牌海思（Hisilicon）</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USB接口USB20</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音频接口AV接口；其他</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视频接口HDMI 2.1；HDMI 1.4；AV接口</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其他接口USB；电源接口；网口；WIFI</w:t>
            </w:r>
          </w:p>
        </w:tc>
        <w:tc>
          <w:tcPr>
            <w:tcW w:w="1036" w:type="dxa"/>
            <w:vAlign w:val="center"/>
          </w:tcPr>
          <w:p>
            <w:pPr>
              <w:keepNext w:val="0"/>
              <w:keepLines w:val="0"/>
              <w:widowControl/>
              <w:suppressLineNumbers w:val="0"/>
              <w:jc w:val="center"/>
              <w:textAlignment w:val="center"/>
              <w:rPr>
                <w:rFonts w:hint="default" w:ascii="方正仿宋_GBK" w:hAnsi="方正仿宋_GBK" w:eastAsia="方正仿宋_GBK" w:cs="方正仿宋_GBK"/>
                <w:bCs/>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13</w:t>
            </w:r>
          </w:p>
        </w:tc>
        <w:tc>
          <w:tcPr>
            <w:tcW w:w="1624" w:type="dxa"/>
            <w:vAlign w:val="center"/>
          </w:tcPr>
          <w:p>
            <w:pPr>
              <w:keepNext w:val="0"/>
              <w:keepLines w:val="0"/>
              <w:widowControl/>
              <w:suppressLineNumbers w:val="0"/>
              <w:jc w:val="center"/>
              <w:textAlignment w:val="center"/>
              <w:rPr>
                <w:rFonts w:hint="eastAsia" w:ascii="方正仿宋_GBK" w:hAnsi="方正仿宋_GBK" w:eastAsia="方正仿宋_GBK" w:cs="方正仿宋_GBK"/>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0.045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9</w:t>
            </w: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方正仿宋_GBK" w:hAnsi="方正仿宋_GBK" w:eastAsia="微软雅黑" w:cs="方正仿宋_GBK"/>
                <w:b w:val="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16口交换机</w:t>
            </w:r>
          </w:p>
        </w:tc>
        <w:tc>
          <w:tcPr>
            <w:tcW w:w="53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产品类型：千兆以太网交换机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应用层级：暂无数据</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背板带宽：32Gbps</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包转发率：24Mpps</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端口结构：非模块化</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电源电压：100-240V AC</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端口描述：16个千兆电口</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电源功率：暂无数据</w:t>
            </w:r>
          </w:p>
        </w:tc>
        <w:tc>
          <w:tcPr>
            <w:tcW w:w="1036" w:type="dxa"/>
            <w:vAlign w:val="center"/>
          </w:tcPr>
          <w:p>
            <w:pPr>
              <w:keepNext w:val="0"/>
              <w:keepLines w:val="0"/>
              <w:widowControl/>
              <w:suppressLineNumbers w:val="0"/>
              <w:jc w:val="center"/>
              <w:textAlignment w:val="center"/>
              <w:rPr>
                <w:rFonts w:hint="default" w:ascii="方正仿宋_GBK" w:hAnsi="方正仿宋_GBK" w:eastAsia="方正仿宋_GBK" w:cs="方正仿宋_GBK"/>
                <w:bCs/>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w:t>
            </w:r>
          </w:p>
        </w:tc>
        <w:tc>
          <w:tcPr>
            <w:tcW w:w="1624" w:type="dxa"/>
            <w:vAlign w:val="center"/>
          </w:tcPr>
          <w:p>
            <w:pPr>
              <w:keepNext w:val="0"/>
              <w:keepLines w:val="0"/>
              <w:widowControl/>
              <w:suppressLineNumbers w:val="0"/>
              <w:jc w:val="center"/>
              <w:textAlignment w:val="center"/>
              <w:rPr>
                <w:rFonts w:hint="eastAsia" w:ascii="方正仿宋_GBK" w:hAnsi="方正仿宋_GBK" w:eastAsia="方正仿宋_GBK" w:cs="方正仿宋_GBK"/>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0.039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10</w:t>
            </w: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方正仿宋_GBK" w:hAnsi="方正仿宋_GBK" w:eastAsia="微软雅黑" w:cs="方正仿宋_GBK"/>
                <w:b w:val="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喇叭</w:t>
            </w:r>
          </w:p>
        </w:tc>
        <w:tc>
          <w:tcPr>
            <w:tcW w:w="53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功放功率80w能与数字化门诊专用取号机接入</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（1）用于排队叫号，功率：2W，电压输入：70V-110V，材质：ABS塑料</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（2）设备安装方便，支持吸顶或挂壁安装</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（3）喇叭支持左右双声道</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（4）采用有线连接，信号传输稳定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（5）金属外壳，塑料箱体，安装美观</w:t>
            </w:r>
          </w:p>
        </w:tc>
        <w:tc>
          <w:tcPr>
            <w:tcW w:w="1036" w:type="dxa"/>
            <w:vAlign w:val="center"/>
          </w:tcPr>
          <w:p>
            <w:pPr>
              <w:keepNext w:val="0"/>
              <w:keepLines w:val="0"/>
              <w:widowControl/>
              <w:suppressLineNumbers w:val="0"/>
              <w:jc w:val="center"/>
              <w:textAlignment w:val="center"/>
              <w:rPr>
                <w:rFonts w:hint="default" w:ascii="方正仿宋_GBK" w:hAnsi="方正仿宋_GBK" w:eastAsia="方正仿宋_GBK" w:cs="方正仿宋_GBK"/>
                <w:bCs/>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w:t>
            </w:r>
          </w:p>
        </w:tc>
        <w:tc>
          <w:tcPr>
            <w:tcW w:w="1624" w:type="dxa"/>
            <w:vAlign w:val="center"/>
          </w:tcPr>
          <w:p>
            <w:pPr>
              <w:keepNext w:val="0"/>
              <w:keepLines w:val="0"/>
              <w:widowControl/>
              <w:suppressLineNumbers w:val="0"/>
              <w:jc w:val="center"/>
              <w:textAlignment w:val="center"/>
              <w:rPr>
                <w:rFonts w:hint="eastAsia" w:ascii="方正仿宋_GBK" w:hAnsi="方正仿宋_GBK" w:eastAsia="方正仿宋_GBK" w:cs="方正仿宋_GBK"/>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0.011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11</w:t>
            </w: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方正仿宋_GBK" w:hAnsi="方正仿宋_GBK" w:eastAsia="微软雅黑" w:cs="方正仿宋_GBK"/>
                <w:b w:val="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功放</w:t>
            </w:r>
          </w:p>
        </w:tc>
        <w:tc>
          <w:tcPr>
            <w:tcW w:w="53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功放功率80w能与数字化门诊专用取号机接入</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（1）用于排队叫号，功率：2W，电压输入：70V-110V，材质：ABS塑料</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（2）设备安装方便，支持吸顶或挂壁安装</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（3）喇叭支持左右双声道</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（4）采用有线连接，信号传输稳定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（5）金属外壳，塑料箱体，安装美观</w:t>
            </w:r>
          </w:p>
        </w:tc>
        <w:tc>
          <w:tcPr>
            <w:tcW w:w="1036" w:type="dxa"/>
            <w:vAlign w:val="center"/>
          </w:tcPr>
          <w:p>
            <w:pPr>
              <w:keepNext w:val="0"/>
              <w:keepLines w:val="0"/>
              <w:widowControl/>
              <w:suppressLineNumbers w:val="0"/>
              <w:jc w:val="center"/>
              <w:textAlignment w:val="center"/>
              <w:rPr>
                <w:rFonts w:hint="default" w:ascii="方正仿宋_GBK" w:hAnsi="方正仿宋_GBK" w:eastAsia="方正仿宋_GBK" w:cs="方正仿宋_GBK"/>
                <w:bCs/>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1624" w:type="dxa"/>
            <w:vAlign w:val="center"/>
          </w:tcPr>
          <w:p>
            <w:pPr>
              <w:keepNext w:val="0"/>
              <w:keepLines w:val="0"/>
              <w:widowControl/>
              <w:suppressLineNumbers w:val="0"/>
              <w:jc w:val="center"/>
              <w:textAlignment w:val="center"/>
              <w:rPr>
                <w:rFonts w:hint="eastAsia" w:ascii="方正仿宋_GBK" w:hAnsi="方正仿宋_GBK" w:eastAsia="方正仿宋_GBK" w:cs="方正仿宋_GBK"/>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0.060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12</w:t>
            </w: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方正仿宋_GBK" w:hAnsi="方正仿宋_GBK" w:eastAsia="微软雅黑" w:cs="方正仿宋_GBK"/>
                <w:b w:val="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机柜</w:t>
            </w:r>
          </w:p>
        </w:tc>
        <w:tc>
          <w:tcPr>
            <w:tcW w:w="53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12U机柜参数</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尺寸550x450x600(带轮落地、壁挂两用)，20KG；优质SPCC冷轧钢板，箱体1.2，立柱1.5，钢化玻璃门或者网门</w:t>
            </w:r>
          </w:p>
        </w:tc>
        <w:tc>
          <w:tcPr>
            <w:tcW w:w="1036" w:type="dxa"/>
            <w:vAlign w:val="center"/>
          </w:tcPr>
          <w:p>
            <w:pPr>
              <w:keepNext w:val="0"/>
              <w:keepLines w:val="0"/>
              <w:widowControl/>
              <w:suppressLineNumbers w:val="0"/>
              <w:jc w:val="center"/>
              <w:textAlignment w:val="center"/>
              <w:rPr>
                <w:rFonts w:hint="default" w:ascii="方正仿宋_GBK" w:hAnsi="方正仿宋_GBK" w:eastAsia="方正仿宋_GBK" w:cs="方正仿宋_GBK"/>
                <w:bCs/>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1624" w:type="dxa"/>
            <w:vAlign w:val="center"/>
          </w:tcPr>
          <w:p>
            <w:pPr>
              <w:keepNext w:val="0"/>
              <w:keepLines w:val="0"/>
              <w:widowControl/>
              <w:suppressLineNumbers w:val="0"/>
              <w:jc w:val="center"/>
              <w:textAlignment w:val="center"/>
              <w:rPr>
                <w:rFonts w:hint="eastAsia" w:ascii="方正仿宋_GBK" w:hAnsi="方正仿宋_GBK" w:eastAsia="方正仿宋_GBK" w:cs="方正仿宋_GBK"/>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0.058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13</w:t>
            </w: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方正仿宋_GBK" w:hAnsi="方正仿宋_GBK" w:eastAsia="微软雅黑" w:cs="方正仿宋_GBK"/>
                <w:b w:val="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网络布线</w:t>
            </w:r>
          </w:p>
        </w:tc>
        <w:tc>
          <w:tcPr>
            <w:tcW w:w="5373"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取号机，留观机，候诊信息屏，留观大屏，宣传屏的拆、安装。接种登记台显示屏、电子核签疫苗告知、吊架机顶盒设备的安装调试培训。线路敷设整理及耗材(电线、网线、槽板、插座、音响线)，应具有1-2年数字化门诊实施布线经验，避免后续整改。</w:t>
            </w:r>
          </w:p>
        </w:tc>
        <w:tc>
          <w:tcPr>
            <w:tcW w:w="1036" w:type="dxa"/>
            <w:vAlign w:val="center"/>
          </w:tcPr>
          <w:p>
            <w:pPr>
              <w:keepNext w:val="0"/>
              <w:keepLines w:val="0"/>
              <w:widowControl/>
              <w:suppressLineNumbers w:val="0"/>
              <w:jc w:val="center"/>
              <w:textAlignment w:val="center"/>
              <w:rPr>
                <w:rFonts w:hint="default" w:ascii="方正仿宋_GBK" w:hAnsi="方正仿宋_GBK" w:eastAsia="方正仿宋_GBK" w:cs="方正仿宋_GBK"/>
                <w:bCs/>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1624" w:type="dxa"/>
            <w:vAlign w:val="center"/>
          </w:tcPr>
          <w:p>
            <w:pPr>
              <w:keepNext w:val="0"/>
              <w:keepLines w:val="0"/>
              <w:widowControl/>
              <w:suppressLineNumbers w:val="0"/>
              <w:jc w:val="center"/>
              <w:textAlignment w:val="center"/>
              <w:rPr>
                <w:rFonts w:hint="eastAsia" w:ascii="方正仿宋_GBK" w:hAnsi="方正仿宋_GBK" w:eastAsia="方正仿宋_GBK" w:cs="方正仿宋_GBK"/>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5"/>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注意： 项目总预算为7.66万元，供应商投标报总价时请将明细一并列出，方便执行过程中项目增减据实结算。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5"/>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（二）商务要求：（须完全响应）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（一）时间地点</w:t>
            </w:r>
            <w:r>
              <w:rPr>
                <w:rFonts w:hint="eastAsia" w:ascii="方正仿宋_GBK" w:hAnsi="方正仿宋_GBK" w:eastAsia="方正仿宋_GBK" w:cs="方正仿宋_GBK"/>
                <w:sz w:val="24"/>
                <w:szCs w:val="24"/>
                <w:lang w:val="en-US" w:eastAsia="zh-CN"/>
              </w:rPr>
              <w:t>及报价</w:t>
            </w:r>
            <w:r>
              <w:rPr>
                <w:rFonts w:hint="eastAsia" w:ascii="方正仿宋_GBK" w:hAnsi="方正仿宋_GBK" w:eastAsia="方正仿宋_GBK" w:cs="方正仿宋_GBK"/>
                <w:sz w:val="24"/>
                <w:szCs w:val="24"/>
              </w:rPr>
              <w:t>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1.交付期限：</w:t>
            </w:r>
            <w:r>
              <w:rPr>
                <w:rFonts w:hint="eastAsia" w:ascii="方正仿宋_GBK" w:hAnsi="方正仿宋_GBK" w:eastAsia="方正仿宋_GBK" w:cs="方正仿宋_GBK"/>
                <w:sz w:val="24"/>
                <w:szCs w:val="24"/>
                <w:lang w:val="en-US" w:eastAsia="zh-CN"/>
              </w:rPr>
              <w:t>合同签订后20个工作日内完成送货安装调试</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2.交货地点：重庆市璧山区人民医院</w:t>
            </w:r>
            <w:r>
              <w:rPr>
                <w:rFonts w:hint="eastAsia" w:ascii="方正仿宋_GBK" w:hAnsi="方正仿宋_GBK" w:eastAsia="方正仿宋_GBK" w:cs="方正仿宋_GBK"/>
                <w:sz w:val="24"/>
                <w:szCs w:val="24"/>
                <w:lang w:val="en-US" w:eastAsia="zh-CN"/>
              </w:rPr>
              <w:t>指</w:t>
            </w:r>
            <w:r>
              <w:rPr>
                <w:rFonts w:hint="eastAsia" w:ascii="方正仿宋_GBK" w:hAnsi="方正仿宋_GBK" w:eastAsia="方正仿宋_GBK" w:cs="方正仿宋_GBK"/>
                <w:sz w:val="24"/>
                <w:szCs w:val="24"/>
              </w:rPr>
              <w:t xml:space="preserve">定地点。 </w:t>
            </w:r>
          </w:p>
          <w:p>
            <w:pPr>
              <w:spacing w:line="500" w:lineRule="exact"/>
              <w:ind w:firstLine="480" w:firstLineChars="200"/>
              <w:rPr>
                <w:rFonts w:hint="eastAsia"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3.报价要求：本次报价为人民币包干价，包含：货款、人工费、安装调试费、运输装卸费、税费、保险费、场地清洁费、质保期维护费用、使用培训费、系统对接接口费、系统升级费、验收检测费等完成本项目所需的一切费用。因成交供应商自身原因造成漏报、少报皆由其自行承担责任，采购人不再补偿。服务期间发生的安全事故责任由供应商自行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（二）付款方式</w:t>
            </w:r>
          </w:p>
          <w:p>
            <w:pPr>
              <w:spacing w:line="500" w:lineRule="exact"/>
              <w:ind w:firstLine="480" w:firstLineChars="200"/>
              <w:rPr>
                <w:rFonts w:hint="default" w:ascii="方正仿宋_GBK" w:hAnsi="方正仿宋_GBK" w:eastAsia="方正仿宋_GBK" w:cs="方正仿宋_GBK"/>
                <w:sz w:val="24"/>
                <w:szCs w:val="24"/>
                <w:lang w:val="en-US"/>
              </w:rPr>
            </w:pPr>
            <w:bookmarkStart w:id="0" w:name="_Toc267320052"/>
            <w:r>
              <w:rPr>
                <w:rFonts w:hint="eastAsia" w:ascii="方正仿宋_GBK" w:hAnsi="方正仿宋_GBK" w:eastAsia="方正仿宋_GBK" w:cs="方正仿宋_GBK"/>
                <w:sz w:val="24"/>
                <w:szCs w:val="24"/>
                <w:lang w:val="en-US" w:eastAsia="zh-CN"/>
              </w:rPr>
              <w:t>分期付款：验收通过后一次性付款95%，剩余5%作为供应商质保承诺的维保费用，维保期满且服务合同的一次性支付。支付时提供发票、验收合格、培训记录等资料。</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（三）合同签订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成交供应商在接到成交通知后20日内与采购人签订合同；</w:t>
            </w:r>
            <w:r>
              <w:rPr>
                <w:rFonts w:hint="eastAsia" w:ascii="方正仿宋_GBK" w:hAnsi="方正仿宋_GBK" w:eastAsia="方正仿宋_GBK" w:cs="方正仿宋_GBK"/>
                <w:b/>
                <w:bCs/>
                <w:sz w:val="24"/>
                <w:szCs w:val="24"/>
              </w:rPr>
              <w:t>若投标人非投标产品制造商，签订合同</w:t>
            </w:r>
            <w:r>
              <w:rPr>
                <w:rFonts w:hint="eastAsia" w:ascii="方正仿宋_GBK" w:hAnsi="方正仿宋_GBK" w:eastAsia="方正仿宋_GBK" w:cs="方正仿宋_GBK"/>
                <w:b/>
                <w:bCs/>
                <w:sz w:val="24"/>
                <w:szCs w:val="24"/>
                <w:lang w:val="en-US" w:eastAsia="zh-CN"/>
              </w:rPr>
              <w:t>前</w:t>
            </w:r>
            <w:r>
              <w:rPr>
                <w:rFonts w:hint="eastAsia" w:ascii="方正仿宋_GBK" w:hAnsi="方正仿宋_GBK" w:eastAsia="方正仿宋_GBK" w:cs="方正仿宋_GBK"/>
                <w:b/>
                <w:bCs/>
                <w:sz w:val="24"/>
                <w:szCs w:val="24"/>
              </w:rPr>
              <w:t>须提交投标产品制造商工商营业执照复印件</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lang w:val="en-US" w:eastAsia="zh-CN"/>
              </w:rPr>
              <w:t>制造商</w:t>
            </w:r>
            <w:r>
              <w:rPr>
                <w:rFonts w:hint="eastAsia" w:ascii="方正仿宋_GBK" w:hAnsi="方正仿宋_GBK" w:eastAsia="方正仿宋_GBK" w:cs="方正仿宋_GBK"/>
                <w:b/>
                <w:bCs/>
                <w:sz w:val="24"/>
                <w:szCs w:val="24"/>
              </w:rPr>
              <w:t>授权委托书</w:t>
            </w:r>
            <w:r>
              <w:rPr>
                <w:rFonts w:hint="eastAsia" w:ascii="方正仿宋_GBK" w:hAnsi="方正仿宋_GBK" w:eastAsia="方正仿宋_GBK" w:cs="方正仿宋_GBK"/>
                <w:b/>
                <w:bCs/>
                <w:sz w:val="24"/>
                <w:szCs w:val="24"/>
                <w:lang w:val="en-US" w:eastAsia="zh-CN"/>
              </w:rPr>
              <w:t>和质保承诺。</w:t>
            </w:r>
          </w:p>
          <w:bookmarkEnd w:id="0"/>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（四）安装调试、培训及验收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1.成交供应商将</w:t>
            </w:r>
            <w:r>
              <w:rPr>
                <w:rFonts w:hint="eastAsia" w:ascii="方正仿宋_GBK" w:hAnsi="方正仿宋_GBK" w:eastAsia="方正仿宋_GBK" w:cs="方正仿宋_GBK"/>
                <w:sz w:val="24"/>
                <w:szCs w:val="24"/>
                <w:lang w:val="en-US" w:eastAsia="zh-CN"/>
              </w:rPr>
              <w:t>货物</w:t>
            </w:r>
            <w:r>
              <w:rPr>
                <w:rFonts w:hint="eastAsia" w:ascii="方正仿宋_GBK" w:hAnsi="方正仿宋_GBK" w:eastAsia="方正仿宋_GBK" w:cs="方正仿宋_GBK"/>
                <w:sz w:val="24"/>
                <w:szCs w:val="24"/>
              </w:rPr>
              <w:t>免费送到采购人指定地点，经采购人当场开箱、共同清点、检查外观</w:t>
            </w:r>
            <w:r>
              <w:rPr>
                <w:rFonts w:hint="eastAsia" w:ascii="方正仿宋_GBK" w:hAnsi="方正仿宋_GBK" w:eastAsia="方正仿宋_GBK" w:cs="方正仿宋_GBK"/>
                <w:sz w:val="24"/>
                <w:szCs w:val="24"/>
                <w:lang w:val="en-US" w:eastAsia="zh-CN"/>
              </w:rPr>
              <w:t>等</w:t>
            </w:r>
            <w:r>
              <w:rPr>
                <w:rFonts w:hint="eastAsia" w:ascii="方正仿宋_GBK" w:hAnsi="方正仿宋_GBK" w:eastAsia="方正仿宋_GBK" w:cs="方正仿宋_GBK"/>
                <w:sz w:val="24"/>
                <w:szCs w:val="24"/>
              </w:rPr>
              <w:t>进行开箱</w:t>
            </w:r>
            <w:r>
              <w:rPr>
                <w:rFonts w:hint="eastAsia" w:ascii="方正仿宋_GBK" w:hAnsi="方正仿宋_GBK" w:eastAsia="方正仿宋_GBK" w:cs="方正仿宋_GBK"/>
                <w:sz w:val="24"/>
                <w:szCs w:val="24"/>
                <w:lang w:val="en-US" w:eastAsia="zh-CN"/>
              </w:rPr>
              <w:t>验收，</w:t>
            </w:r>
            <w:r>
              <w:rPr>
                <w:rFonts w:hint="eastAsia" w:ascii="方正仿宋_GBK" w:hAnsi="方正仿宋_GBK" w:eastAsia="方正仿宋_GBK" w:cs="方正仿宋_GBK"/>
                <w:sz w:val="24"/>
                <w:szCs w:val="24"/>
              </w:rPr>
              <w:t>双方签字确认。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2.供应商应保证货物到达采购人所在地时完好无损，</w:t>
            </w:r>
            <w:r>
              <w:rPr>
                <w:rFonts w:hint="eastAsia" w:ascii="方正仿宋_GBK" w:hAnsi="方正仿宋_GBK" w:eastAsia="方正仿宋_GBK" w:cs="方正仿宋_GBK"/>
                <w:sz w:val="24"/>
                <w:szCs w:val="24"/>
                <w:lang w:val="en-US" w:eastAsia="zh-CN"/>
              </w:rPr>
              <w:t>相关物品</w:t>
            </w:r>
            <w:r>
              <w:rPr>
                <w:rFonts w:hint="eastAsia" w:ascii="方正仿宋_GBK" w:hAnsi="方正仿宋_GBK" w:eastAsia="方正仿宋_GBK" w:cs="方正仿宋_GBK"/>
                <w:sz w:val="24"/>
                <w:szCs w:val="24"/>
              </w:rPr>
              <w:t>生产日期应为1年以内的全新产品。如有缺漏、损坏，由供应商负责调换、补齐或赔偿。</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3.成交供应商派遣专业技术人员在采购人指定地点对采购人使用人员进行设备使用与操作进行免费专业培训，使其能正常操作。</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4.1采购合同须与投标文件中的技术要求对照表相一致；若不满足相应要求，取消其中标资格。</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4.2</w:t>
            </w:r>
            <w:r>
              <w:rPr>
                <w:rFonts w:hint="eastAsia" w:ascii="方正仿宋_GBK" w:hAnsi="方正仿宋_GBK" w:eastAsia="方正仿宋_GBK" w:cs="方正仿宋_GBK"/>
                <w:sz w:val="24"/>
                <w:szCs w:val="24"/>
                <w:lang w:val="en-US" w:eastAsia="zh-CN"/>
              </w:rPr>
              <w:t>产品</w:t>
            </w:r>
            <w:r>
              <w:rPr>
                <w:rFonts w:hint="eastAsia" w:ascii="方正仿宋_GBK" w:hAnsi="方正仿宋_GBK" w:eastAsia="方正仿宋_GBK" w:cs="方正仿宋_GBK"/>
                <w:sz w:val="24"/>
                <w:szCs w:val="24"/>
              </w:rPr>
              <w:t>品种、规格、数量、技术参数以及商品品牌、生产厂家等与投标文件和采购合同一致，性能指标达到规定的标准。</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4.3货物技术资料、装箱单、合格证等资料齐全。</w:t>
            </w:r>
          </w:p>
          <w:p>
            <w:pPr>
              <w:spacing w:line="5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4.4</w:t>
            </w:r>
            <w:r>
              <w:rPr>
                <w:rFonts w:hint="eastAsia" w:ascii="方正仿宋_GBK" w:hAnsi="方正仿宋_GBK" w:eastAsia="方正仿宋_GBK" w:cs="方正仿宋_GBK"/>
                <w:sz w:val="24"/>
                <w:szCs w:val="24"/>
                <w:lang w:val="en-US" w:eastAsia="zh-CN"/>
              </w:rPr>
              <w:t>验收后发现疑似产品质量问题，供应商应承担鉴定费用。</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4.5在规定时间内完成交货，并经采购人确认。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5.采购人需要制造商对成交供应商交付的产品（包括质量、技术参数等）进行确认的，成交供应商须提供制造商加盖公章的书面意见。</w:t>
            </w:r>
          </w:p>
          <w:p>
            <w:pPr>
              <w:pStyle w:val="4"/>
              <w:spacing w:line="500" w:lineRule="exact"/>
              <w:ind w:firstLine="480" w:firstLineChars="200"/>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6. 验收时产生争议，采购人可邀请国家认可的质量检测机构参加验收工作，产生的验收费用由供应商承担。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（六）质量保</w:t>
            </w:r>
            <w:r>
              <w:rPr>
                <w:rFonts w:hint="eastAsia" w:ascii="方正仿宋_GBK" w:hAnsi="方正仿宋_GBK" w:eastAsia="方正仿宋_GBK" w:cs="方正仿宋_GBK"/>
                <w:sz w:val="24"/>
                <w:szCs w:val="24"/>
              </w:rPr>
              <w:t>证及售后服务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1.质量保证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1.1自验收合格之日起，</w:t>
            </w:r>
            <w:r>
              <w:rPr>
                <w:rFonts w:hint="eastAsia" w:ascii="方正仿宋_GBK" w:hAnsi="方正仿宋_GBK" w:eastAsia="方正仿宋_GBK" w:cs="方正仿宋_GBK"/>
                <w:b/>
                <w:bCs/>
                <w:sz w:val="24"/>
                <w:szCs w:val="24"/>
                <w:u w:val="single"/>
              </w:rPr>
              <w:t>提供所投产品不低于</w:t>
            </w:r>
            <w:r>
              <w:rPr>
                <w:rFonts w:hint="eastAsia" w:ascii="方正仿宋_GBK" w:hAnsi="方正仿宋_GBK" w:eastAsia="方正仿宋_GBK" w:cs="方正仿宋_GBK"/>
                <w:b/>
                <w:bCs/>
                <w:sz w:val="24"/>
                <w:szCs w:val="24"/>
                <w:u w:val="single"/>
                <w:lang w:val="en-US" w:eastAsia="zh-CN"/>
              </w:rPr>
              <w:t>3</w:t>
            </w:r>
            <w:r>
              <w:rPr>
                <w:rFonts w:hint="eastAsia" w:ascii="方正仿宋_GBK" w:hAnsi="方正仿宋_GBK" w:eastAsia="方正仿宋_GBK" w:cs="方正仿宋_GBK"/>
                <w:b/>
                <w:bCs/>
                <w:sz w:val="24"/>
                <w:szCs w:val="24"/>
                <w:u w:val="single"/>
              </w:rPr>
              <w:t>年的免费</w:t>
            </w:r>
            <w:r>
              <w:rPr>
                <w:rFonts w:hint="eastAsia" w:ascii="方正仿宋_GBK" w:hAnsi="方正仿宋_GBK" w:eastAsia="方正仿宋_GBK" w:cs="方正仿宋_GBK"/>
                <w:b/>
                <w:bCs/>
                <w:sz w:val="24"/>
                <w:szCs w:val="24"/>
                <w:u w:val="single"/>
                <w:lang w:val="en-US" w:eastAsia="zh-CN"/>
              </w:rPr>
              <w:t>原厂</w:t>
            </w:r>
            <w:r>
              <w:rPr>
                <w:rFonts w:hint="eastAsia" w:ascii="方正仿宋_GBK" w:hAnsi="方正仿宋_GBK" w:eastAsia="方正仿宋_GBK" w:cs="方正仿宋_GBK"/>
                <w:b/>
                <w:bCs/>
                <w:sz w:val="24"/>
                <w:szCs w:val="24"/>
                <w:u w:val="single"/>
              </w:rPr>
              <w:t>质保</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产品质保期内有任何质量问题，采购人有权要求供应商整改和退还，如产品变色、脱漆、破损等。</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1.2采购货物属于国家规定“三包”范围的，其产品质量保证期不得低于“三包”规定。</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1.3供应商的质量保证期承诺优于国家“三包”规定的，按供应商实际承诺执行。</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1.4采购货物由产品制造商负责标准售后服务，应当在响应文件中予以明确说明，并提供相关文件。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2.1质保期内服务要求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2.1.1电话咨询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成交供应商或制造商应当为采购人提供技术援助电话，在30分钟内响应解答采购人在使用中遇到的问题，及时为采购人提出解决问题的建议。</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2.1.2现场响应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采购人遇到使用及技术问题，电话咨询不能解决的，成交供应商或制造商应在</w:t>
            </w:r>
            <w:r>
              <w:rPr>
                <w:rFonts w:hint="eastAsia" w:ascii="方正仿宋_GBK" w:hAnsi="方正仿宋_GBK" w:eastAsia="方正仿宋_GBK" w:cs="方正仿宋_GBK"/>
                <w:sz w:val="24"/>
                <w:szCs w:val="24"/>
                <w:lang w:val="en-US" w:eastAsia="zh-CN"/>
              </w:rPr>
              <w:t>4小时</w:t>
            </w:r>
            <w:r>
              <w:rPr>
                <w:rFonts w:hint="eastAsia" w:ascii="方正仿宋_GBK" w:hAnsi="方正仿宋_GBK" w:eastAsia="方正仿宋_GBK" w:cs="方正仿宋_GBK"/>
                <w:sz w:val="24"/>
                <w:szCs w:val="24"/>
              </w:rPr>
              <w:t>内派专业技术人员到达现场进行</w:t>
            </w:r>
            <w:r>
              <w:rPr>
                <w:rFonts w:hint="eastAsia" w:ascii="方正仿宋_GBK" w:hAnsi="方正仿宋_GBK" w:eastAsia="方正仿宋_GBK" w:cs="方正仿宋_GBK"/>
                <w:sz w:val="24"/>
                <w:szCs w:val="24"/>
                <w:lang w:val="en-US" w:eastAsia="zh-CN"/>
              </w:rPr>
              <w:t>处理</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5小时不能解决问题的应提供备用产品。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2.1.3技术升级</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2.2质保期满服务要求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质保期满后成交供应商或制造商应同样提供免费电话咨询服务；承诺提供产品上门维修服务时只收取维修配件费，不收其他费用。常用的、容易损坏的维修配件的价格清单须在响应文件中列出。</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（七）履约保证金</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w:t>
            </w:r>
            <w:bookmarkStart w:id="1" w:name="_Toc3955"/>
            <w:r>
              <w:rPr>
                <w:rFonts w:hint="eastAsia" w:ascii="方正仿宋_GBK" w:hAnsi="方正仿宋_GBK" w:eastAsia="方正仿宋_GBK" w:cs="方正仿宋_GBK"/>
                <w:sz w:val="24"/>
                <w:szCs w:val="24"/>
                <w:lang w:val="en-US" w:eastAsia="zh-CN"/>
              </w:rPr>
              <w:t>踏勘</w:t>
            </w:r>
            <w:bookmarkEnd w:id="1"/>
            <w:r>
              <w:rPr>
                <w:rFonts w:hint="eastAsia" w:ascii="方正仿宋_GBK" w:hAnsi="方正仿宋_GBK" w:eastAsia="方正仿宋_GBK" w:cs="方正仿宋_GBK"/>
                <w:sz w:val="24"/>
                <w:szCs w:val="24"/>
                <w:lang w:val="en-US" w:eastAsia="zh-CN"/>
              </w:rPr>
              <w:t>现场</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供应商自行组织踏勘现场，现场踏勘应充分了解项目位置、</w:t>
            </w:r>
            <w:r>
              <w:rPr>
                <w:rFonts w:hint="eastAsia" w:ascii="方正仿宋_GBK" w:hAnsi="方正仿宋_GBK" w:eastAsia="方正仿宋_GBK" w:cs="方正仿宋_GBK"/>
                <w:sz w:val="24"/>
                <w:szCs w:val="24"/>
                <w:lang w:val="en-US" w:eastAsia="zh-CN"/>
              </w:rPr>
              <w:t>运行</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val="en-US" w:eastAsia="zh-CN"/>
              </w:rPr>
              <w:t>周边环境、</w:t>
            </w:r>
            <w:r>
              <w:rPr>
                <w:rFonts w:hint="eastAsia" w:ascii="方正仿宋_GBK" w:hAnsi="方正仿宋_GBK" w:eastAsia="方正仿宋_GBK" w:cs="方正仿宋_GBK"/>
                <w:sz w:val="24"/>
                <w:szCs w:val="24"/>
              </w:rPr>
              <w:t>装卸限制及任何</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足以影响磋商报价的情况，任何因忽视或误解项目情况而导致的服务不达标或服务期延长的，供应商自行承担相关责任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踏勘现场时发生的安全责任事故由供应商自行承担责任，项目实施时不得影响周边居民的正常生活</w:t>
            </w:r>
            <w:r>
              <w:rPr>
                <w:rFonts w:hint="eastAsia" w:ascii="方正仿宋_GBK" w:hAnsi="方正仿宋_GBK" w:eastAsia="方正仿宋_GBK" w:cs="方正仿宋_GBK"/>
                <w:sz w:val="24"/>
                <w:szCs w:val="24"/>
              </w:rPr>
              <w:t>。</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全新正规合格产品，后期发现或鉴定为假冒伪劣产品或残次品，供应商应承担所有费用并按照产品销售金额2倍进行赔偿，因产品质量问题导致的损害由供应商承担全部责任。</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w:t>
            </w:r>
            <w:bookmarkStart w:id="31" w:name="_GoBack"/>
            <w:bookmarkEnd w:id="31"/>
            <w:r>
              <w:rPr>
                <w:rFonts w:hint="eastAsia" w:ascii="方正仿宋_GBK" w:hAnsi="方正仿宋_GBK" w:eastAsia="方正仿宋_GBK" w:cs="方正仿宋_GBK"/>
                <w:b/>
                <w:bCs/>
                <w:sz w:val="24"/>
                <w:szCs w:val="24"/>
                <w:lang w:val="en-US" w:eastAsia="zh-CN"/>
              </w:rPr>
              <w:t>料不齐全的为无效报价。</w:t>
            </w:r>
          </w:p>
          <w:p>
            <w:pPr>
              <w:numPr>
                <w:ilvl w:val="0"/>
                <w:numId w:val="0"/>
              </w:num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其他要求：1.</w:t>
            </w:r>
            <w:r>
              <w:rPr>
                <w:rFonts w:hint="eastAsia" w:ascii="方正仿宋_GBK" w:hAnsi="方正仿宋_GBK" w:eastAsia="方正仿宋_GBK" w:cs="方正仿宋_GBK"/>
                <w:sz w:val="24"/>
                <w:szCs w:val="24"/>
              </w:rPr>
              <w:t>本次采购过程中如果产生专家评审费将由成交供应商承担；</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中标后需20日内签订采购合同和购销廉政协议，成交供应商拒绝签订或履行采购合同，采购人将向采购平台管理部门书面投诉，同时纳入采购人黑名单进行管理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其他未尽事宜由供需双方在采购合同中详细约定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本项目不接受联合体参与投标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048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tbl>
            <w:tblPr>
              <w:tblStyle w:val="13"/>
              <w:tblW w:w="10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051"/>
              <w:gridCol w:w="1485"/>
              <w:gridCol w:w="1485"/>
              <w:gridCol w:w="1486"/>
              <w:gridCol w:w="1486"/>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2051"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485"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技术参数是否完全响应</w:t>
                  </w:r>
                </w:p>
              </w:tc>
              <w:tc>
                <w:tcPr>
                  <w:tcW w:w="1485"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商务要求是否完全响应</w:t>
                  </w:r>
                </w:p>
              </w:tc>
              <w:tc>
                <w:tcPr>
                  <w:tcW w:w="1486"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产品品牌及型号</w:t>
                  </w:r>
                </w:p>
              </w:tc>
              <w:tc>
                <w:tcPr>
                  <w:tcW w:w="1486"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产品质量保证期（年）</w:t>
                  </w:r>
                </w:p>
              </w:tc>
              <w:tc>
                <w:tcPr>
                  <w:tcW w:w="1486"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1</w:t>
                  </w: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2</w:t>
                  </w: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3</w:t>
                  </w: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4</w:t>
                  </w: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5</w:t>
                  </w: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6</w:t>
                  </w: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7</w:t>
                  </w: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8</w:t>
                  </w: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9</w:t>
                  </w: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10</w:t>
                  </w: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11</w:t>
                  </w: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12</w:t>
                  </w: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13</w:t>
                  </w: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default" w:ascii="仿宋" w:hAnsi="仿宋" w:eastAsia="仿宋" w:cs="仿宋"/>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以上合计共报价为：？元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注意：技术参数请在投标产品相关资料中提供佐证材料。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2" w:name="_Toc173677397"/>
      <w:bookmarkStart w:id="3" w:name="_Toc128229916"/>
      <w:bookmarkStart w:id="4" w:name="_Toc156730450"/>
      <w:bookmarkStart w:id="5" w:name="_Toc156196470"/>
      <w:bookmarkStart w:id="6" w:name="_Toc166139912"/>
      <w:bookmarkStart w:id="7" w:name="_Toc166549448"/>
      <w:bookmarkStart w:id="8" w:name="_Toc175017342"/>
      <w:bookmarkStart w:id="9" w:name="_Toc156196559"/>
      <w:bookmarkStart w:id="10" w:name="_Toc128229302"/>
      <w:bookmarkStart w:id="11" w:name="_Toc128229745"/>
      <w:bookmarkStart w:id="12" w:name="_Toc156815770"/>
      <w:r>
        <w:rPr>
          <w:rFonts w:hint="eastAsia" w:ascii="仿宋_GB2312" w:eastAsia="仿宋_GB2312"/>
          <w:color w:val="auto"/>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3" w:name="_Toc166549449"/>
      <w:bookmarkStart w:id="14" w:name="_Toc128229303"/>
      <w:bookmarkStart w:id="15" w:name="_Toc166139913"/>
      <w:bookmarkStart w:id="16" w:name="_Toc173677398"/>
      <w:bookmarkStart w:id="17" w:name="_Toc156196560"/>
      <w:bookmarkStart w:id="18" w:name="_Toc175017343"/>
      <w:bookmarkStart w:id="19" w:name="_Toc128229746"/>
      <w:bookmarkStart w:id="20" w:name="_Toc156730451"/>
      <w:bookmarkStart w:id="21" w:name="_Toc156196471"/>
      <w:bookmarkStart w:id="22" w:name="_Toc128229917"/>
      <w:bookmarkStart w:id="23" w:name="_Toc156815771"/>
      <w:r>
        <w:rPr>
          <w:rFonts w:hint="eastAsia" w:ascii="仿宋_GB2312" w:eastAsia="仿宋_GB2312"/>
          <w:color w:val="auto"/>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4" w:name="_Toc175017344"/>
      <w:bookmarkStart w:id="25" w:name="_Toc128229747"/>
      <w:bookmarkStart w:id="26" w:name="_Toc156196472"/>
      <w:bookmarkStart w:id="27" w:name="_Toc173677399"/>
      <w:bookmarkStart w:id="28" w:name="_Toc237057793"/>
      <w:bookmarkStart w:id="29" w:name="_Toc128014297"/>
      <w:bookmarkStart w:id="30" w:name="_Toc128229304"/>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4"/>
      <w:bookmarkEnd w:id="25"/>
      <w:bookmarkEnd w:id="26"/>
      <w:bookmarkEnd w:id="27"/>
      <w:bookmarkEnd w:id="28"/>
      <w:bookmarkEnd w:id="29"/>
      <w:bookmarkEnd w:id="30"/>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spacing w:line="594" w:lineRule="exact"/>
        <w:jc w:val="lef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w:t>
      </w:r>
      <w:r>
        <w:rPr>
          <w:rFonts w:hint="eastAsia" w:ascii="方正仿宋_GBK" w:hAnsi="方正仿宋_GBK" w:eastAsia="方正仿宋_GBK" w:cs="方正仿宋_GBK"/>
          <w:b/>
          <w:bCs/>
          <w:sz w:val="32"/>
          <w:szCs w:val="32"/>
        </w:rPr>
        <w:t>质保及售后服务承诺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2"/>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bl>
    <w:p>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pPr>
        <w:pStyle w:val="4"/>
        <w:jc w:val="both"/>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4"/>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00A5C6E"/>
    <w:rsid w:val="015B6D6E"/>
    <w:rsid w:val="056E5276"/>
    <w:rsid w:val="06FB539B"/>
    <w:rsid w:val="077D6B25"/>
    <w:rsid w:val="0C872834"/>
    <w:rsid w:val="0CE64C8D"/>
    <w:rsid w:val="0FD01451"/>
    <w:rsid w:val="122D0B62"/>
    <w:rsid w:val="1922346A"/>
    <w:rsid w:val="1AF86BE0"/>
    <w:rsid w:val="1BDE0896"/>
    <w:rsid w:val="1CF00EFC"/>
    <w:rsid w:val="1D6F3190"/>
    <w:rsid w:val="21426D4A"/>
    <w:rsid w:val="236757CC"/>
    <w:rsid w:val="2C3529EE"/>
    <w:rsid w:val="2FC44243"/>
    <w:rsid w:val="33FB61AD"/>
    <w:rsid w:val="342C6BC9"/>
    <w:rsid w:val="376E6279"/>
    <w:rsid w:val="38A14340"/>
    <w:rsid w:val="3D8263F7"/>
    <w:rsid w:val="44C5770F"/>
    <w:rsid w:val="44EF71C4"/>
    <w:rsid w:val="482D6FF9"/>
    <w:rsid w:val="496140CE"/>
    <w:rsid w:val="4AE139DB"/>
    <w:rsid w:val="4BDB0A24"/>
    <w:rsid w:val="4C31315D"/>
    <w:rsid w:val="4F6D75ED"/>
    <w:rsid w:val="53A17F68"/>
    <w:rsid w:val="5DDF7139"/>
    <w:rsid w:val="5E932E93"/>
    <w:rsid w:val="5FA4498B"/>
    <w:rsid w:val="61130716"/>
    <w:rsid w:val="61143219"/>
    <w:rsid w:val="626B6216"/>
    <w:rsid w:val="67CF5844"/>
    <w:rsid w:val="6876459C"/>
    <w:rsid w:val="69D01878"/>
    <w:rsid w:val="6A1F4430"/>
    <w:rsid w:val="6DD05A39"/>
    <w:rsid w:val="6EC6360F"/>
    <w:rsid w:val="713118C3"/>
    <w:rsid w:val="71C02C3F"/>
    <w:rsid w:val="72BB5C94"/>
    <w:rsid w:val="732B3BA9"/>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 w:type="character" w:customStyle="1" w:styleId="23">
    <w:name w:val="font11"/>
    <w:basedOn w:val="14"/>
    <w:qFormat/>
    <w:uiPriority w:val="0"/>
    <w:rPr>
      <w:rFonts w:hint="eastAsia" w:ascii="宋体" w:hAnsi="宋体" w:eastAsia="宋体" w:cs="宋体"/>
      <w:color w:val="000000"/>
      <w:sz w:val="20"/>
      <w:szCs w:val="20"/>
      <w:u w:val="none"/>
    </w:rPr>
  </w:style>
  <w:style w:type="character" w:customStyle="1" w:styleId="24">
    <w:name w:val="font01"/>
    <w:basedOn w:val="14"/>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11</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2024-04-08T09:51:19Z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45E1C99DAE874559919D29256C86E247</vt:lpwstr>
  </property>
</Properties>
</file>