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：球囊导引导管等一批耗材</w:t>
      </w:r>
      <w:r>
        <w:rPr>
          <w:rFonts w:hint="eastAsia" w:ascii="宋体" w:hAnsi="宋体" w:cs="Times New Roman"/>
          <w:sz w:val="32"/>
          <w:szCs w:val="32"/>
          <w:lang w:val="en-US" w:eastAsia="zh-CN"/>
        </w:rPr>
        <w:t>（第二次</w:t>
      </w:r>
      <w:bookmarkStart w:id="34" w:name="_GoBack"/>
      <w:bookmarkEnd w:id="34"/>
      <w:r>
        <w:rPr>
          <w:rFonts w:hint="eastAsia" w:ascii="宋体" w:hAnsi="宋体" w:cs="Times New Roman"/>
          <w:sz w:val="32"/>
          <w:szCs w:val="32"/>
          <w:lang w:val="en-US" w:eastAsia="zh-CN"/>
        </w:rPr>
        <w:t>）</w:t>
      </w: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09007</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9</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8"/>
        <w:gridCol w:w="747"/>
        <w:gridCol w:w="1516"/>
        <w:gridCol w:w="1632"/>
        <w:gridCol w:w="1854"/>
        <w:gridCol w:w="2151"/>
        <w:gridCol w:w="88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518"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序号</w:t>
            </w:r>
          </w:p>
        </w:tc>
        <w:tc>
          <w:tcPr>
            <w:tcW w:w="747"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使用科室</w:t>
            </w:r>
          </w:p>
        </w:tc>
        <w:tc>
          <w:tcPr>
            <w:tcW w:w="1516"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名称</w:t>
            </w:r>
          </w:p>
        </w:tc>
        <w:tc>
          <w:tcPr>
            <w:tcW w:w="1632"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材质及尺寸</w:t>
            </w:r>
          </w:p>
        </w:tc>
        <w:tc>
          <w:tcPr>
            <w:tcW w:w="185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用途范围</w:t>
            </w:r>
          </w:p>
        </w:tc>
        <w:tc>
          <w:tcPr>
            <w:tcW w:w="2151"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组成结构</w:t>
            </w:r>
          </w:p>
        </w:tc>
        <w:tc>
          <w:tcPr>
            <w:tcW w:w="88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年预估用量</w:t>
            </w:r>
          </w:p>
        </w:tc>
        <w:tc>
          <w:tcPr>
            <w:tcW w:w="1073"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72" w:hRule="atLeast"/>
        </w:trPr>
        <w:tc>
          <w:tcPr>
            <w:tcW w:w="518"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747"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51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颅内球囊扩张导管</w:t>
            </w:r>
          </w:p>
        </w:tc>
        <w:tc>
          <w:tcPr>
            <w:tcW w:w="163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2.25-4.0（10-25）mm</w:t>
            </w:r>
          </w:p>
        </w:tc>
        <w:tc>
          <w:tcPr>
            <w:tcW w:w="185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在介入治疗术中，经皮穿刺并沿血管走形将球囊扩张导</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管送至病变部位，经准确定位后加压扩张球囊使血流恢复，颅内球囊扩张导管适用于非急性</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期症状性颅内动脉粥样硬化性狭窄病人的介入治疗，通过球囊扩张，改善颅内动脉血管的血流灌注</w:t>
            </w:r>
          </w:p>
        </w:tc>
        <w:tc>
          <w:tcPr>
            <w:tcW w:w="2151"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颅内球囊扩张导管是一款远端带球囊、快速交换式的导管，由Tip、显影点、球囊、远外</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管、内管、连接管、近外管、标记带、扩散应力管和连接件(座)所组成。导管前部为同轴双腔</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结构，外腔实现球囊的充盈及回收，内腔用于输送导丝以便将导管输送并穿过狭窄病变部</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位，位于内管上的显影点可在X射线下指示球囊位置和工作段。导管及球囊外表面涂有亲水涂层</w:t>
            </w:r>
          </w:p>
        </w:tc>
        <w:tc>
          <w:tcPr>
            <w:tcW w:w="88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10根</w:t>
            </w:r>
          </w:p>
        </w:tc>
        <w:tc>
          <w:tcPr>
            <w:tcW w:w="107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9900元/根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8" w:hRule="atLeast"/>
        </w:trPr>
        <w:tc>
          <w:tcPr>
            <w:tcW w:w="518"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747"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51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一次性使用血管鞘</w:t>
            </w:r>
          </w:p>
        </w:tc>
        <w:tc>
          <w:tcPr>
            <w:tcW w:w="163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5F、 6F、7F、 8F</w:t>
            </w:r>
          </w:p>
        </w:tc>
        <w:tc>
          <w:tcPr>
            <w:tcW w:w="185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该产品用于介入手术中，将导丝导管等医疗器械插入血管</w:t>
            </w:r>
          </w:p>
        </w:tc>
        <w:tc>
          <w:tcPr>
            <w:tcW w:w="2151"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一次性使用血管鞘由长鞘，扩张器组成，其中长鞘由鞘管管体，护套，鞘管座，鞘座，止血片，鞘盖，侧支，旋塞阀芯，旋塞阀体，亲水涂层组成，而扩张器由扩张器管体，扩张器座组成。</w:t>
            </w:r>
          </w:p>
        </w:tc>
        <w:tc>
          <w:tcPr>
            <w:tcW w:w="88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30套</w:t>
            </w:r>
          </w:p>
        </w:tc>
        <w:tc>
          <w:tcPr>
            <w:tcW w:w="107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9000元/套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8" w:hRule="atLeast"/>
        </w:trPr>
        <w:tc>
          <w:tcPr>
            <w:tcW w:w="518"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747"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51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一次性使用栓塞保护伞</w:t>
            </w:r>
          </w:p>
        </w:tc>
        <w:tc>
          <w:tcPr>
            <w:tcW w:w="163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03mm、 04mm、 05mm、 06mm、 07mm</w:t>
            </w:r>
          </w:p>
        </w:tc>
        <w:tc>
          <w:tcPr>
            <w:tcW w:w="185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该产品适用于在颈内动脉介入手术，为患者提供血管远端栓塞的保护</w:t>
            </w:r>
          </w:p>
        </w:tc>
        <w:tc>
          <w:tcPr>
            <w:tcW w:w="2151"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由装在输送导丝上的过滤器筛网和输送及回收鞘管组成，近端输送导丝材料为304不锈钢及PTFE，远端导丝及筛网材料为镍钛合金（NITINOL)，远端弹簧包含远端显影玛刻点，近端显影玛刻，筛网口端黄金显影环（镀金钨弹簧，内腔有镍钛合金丝），显影玛刻材料为铂衣合金。输送及回收鞘材料为PEBAX,聚四氟乙烯，304不锈钢和铂衣合金，鞘管两端各有一个显影标记点。产品为一次性使用，经环氧乙烷灭菌。货架有效期3年。</w:t>
            </w:r>
          </w:p>
        </w:tc>
        <w:tc>
          <w:tcPr>
            <w:tcW w:w="88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20个</w:t>
            </w:r>
          </w:p>
        </w:tc>
        <w:tc>
          <w:tcPr>
            <w:tcW w:w="107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12750元/个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8" w:hRule="atLeast"/>
        </w:trPr>
        <w:tc>
          <w:tcPr>
            <w:tcW w:w="518"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747"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51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手动股动脉压迫止血器</w:t>
            </w:r>
          </w:p>
        </w:tc>
        <w:tc>
          <w:tcPr>
            <w:tcW w:w="163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手动</w:t>
            </w:r>
          </w:p>
        </w:tc>
        <w:tc>
          <w:tcPr>
            <w:tcW w:w="185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适用于经皮介入术后，对患者的股动脉穿刺部位进行临时性压迫止血。</w:t>
            </w:r>
          </w:p>
        </w:tc>
        <w:tc>
          <w:tcPr>
            <w:tcW w:w="2151"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产品由手动止血带上下盖（主体），压力调节旋钮，压迫头外垫片（硅胶片）。保护盖，稳定板，绑带组成。</w:t>
            </w:r>
          </w:p>
        </w:tc>
        <w:tc>
          <w:tcPr>
            <w:tcW w:w="88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100个</w:t>
            </w:r>
          </w:p>
        </w:tc>
        <w:tc>
          <w:tcPr>
            <w:tcW w:w="107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8" w:hRule="atLeast"/>
        </w:trPr>
        <w:tc>
          <w:tcPr>
            <w:tcW w:w="518"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747"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51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椎动脉支架</w:t>
            </w:r>
          </w:p>
        </w:tc>
        <w:tc>
          <w:tcPr>
            <w:tcW w:w="163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2.5-5.0/12-23mm</w:t>
            </w:r>
          </w:p>
        </w:tc>
        <w:tc>
          <w:tcPr>
            <w:tcW w:w="185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椎动脉狭窄介入治疗</w:t>
            </w:r>
          </w:p>
        </w:tc>
        <w:tc>
          <w:tcPr>
            <w:tcW w:w="2151"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支架系统+输送系统</w:t>
            </w:r>
          </w:p>
        </w:tc>
        <w:tc>
          <w:tcPr>
            <w:tcW w:w="88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20套</w:t>
            </w:r>
          </w:p>
        </w:tc>
        <w:tc>
          <w:tcPr>
            <w:tcW w:w="1073"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29300元/套</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②药交所最低成交价调整或</w:t>
      </w:r>
      <w:r>
        <w:rPr>
          <w:rFonts w:hint="eastAsia" w:ascii="方正仿宋_GBK" w:hAnsi="方正仿宋_GBK" w:eastAsia="方正仿宋_GBK" w:cs="方正仿宋_GBK"/>
          <w:sz w:val="30"/>
          <w:szCs w:val="30"/>
          <w:highlight w:val="none"/>
          <w:lang w:val="en-US" w:eastAsia="zh-CN"/>
        </w:rPr>
        <w:t>全市其他医疗机构线上备案采购采购产品价格下调应一周内书面通知采购人，按下调的价格结算单价合同。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red"/>
          <w:lang w:val="en-US" w:eastAsia="zh-CN"/>
        </w:rPr>
        <w:t>供应商的报价不得高于药交所的最低成交价，</w:t>
      </w:r>
      <w:r>
        <w:rPr>
          <w:rFonts w:hint="eastAsia" w:ascii="方正仿宋_GBK" w:hAnsi="方正仿宋_GBK" w:eastAsia="方正仿宋_GBK" w:cs="方正仿宋_GBK"/>
          <w:sz w:val="30"/>
          <w:szCs w:val="30"/>
          <w:highlight w:val="yellow"/>
          <w:lang w:val="en-US" w:eastAsia="zh-CN"/>
        </w:rPr>
        <w:t>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w:t>
      </w:r>
      <w:r>
        <w:rPr>
          <w:rFonts w:hint="eastAsia" w:ascii="方正仿宋_GBK" w:hAnsi="方正仿宋_GBK" w:eastAsia="方正仿宋_GBK" w:cs="方正仿宋_GBK"/>
          <w:b/>
          <w:bCs/>
          <w:sz w:val="30"/>
          <w:szCs w:val="30"/>
          <w:highlight w:val="none"/>
          <w:lang w:val="en-US" w:eastAsia="zh-CN"/>
        </w:rPr>
        <w:t>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none"/>
          <w:lang w:val="en-US" w:eastAsia="zh-CN" w:bidi="ar-SA"/>
        </w:rPr>
        <w:t>可在投标文件中一并提供</w:t>
      </w:r>
      <w:r>
        <w:rPr>
          <w:rFonts w:hint="eastAsia" w:ascii="方正仿宋_GBK" w:hAnsi="方正仿宋_GBK" w:eastAsia="方正仿宋_GBK" w:cs="方正仿宋_GBK"/>
          <w:sz w:val="30"/>
          <w:szCs w:val="30"/>
          <w:highlight w:val="none"/>
          <w:lang w:val="en-US" w:eastAsia="zh-CN"/>
        </w:rPr>
        <w:t>，相关授权文件最迟应在中选后5个工作日内送采购人审核，否则视为无效响应，投标保证金将不予退还）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中选供应商应提供最低价承诺，确保采购人所购耗材价格属于药交所线上最低</w:t>
      </w:r>
      <w:r>
        <w:rPr>
          <w:rFonts w:hint="eastAsia" w:ascii="方正仿宋_GBK" w:hAnsi="方正仿宋_GBK" w:eastAsia="方正仿宋_GBK" w:cs="方正仿宋_GBK"/>
          <w:color w:val="auto"/>
          <w:sz w:val="30"/>
          <w:szCs w:val="30"/>
          <w:highlight w:val="none"/>
          <w:lang w:val="en-US" w:eastAsia="zh-CN"/>
        </w:rPr>
        <w:t>成交</w:t>
      </w:r>
      <w:r>
        <w:rPr>
          <w:rFonts w:hint="default" w:ascii="方正仿宋_GBK" w:hAnsi="方正仿宋_GBK" w:eastAsia="方正仿宋_GBK" w:cs="方正仿宋_GBK"/>
          <w:color w:val="auto"/>
          <w:sz w:val="30"/>
          <w:szCs w:val="30"/>
          <w:highlight w:val="none"/>
          <w:lang w:val="en-US" w:eastAsia="zh-CN"/>
        </w:rPr>
        <w:t>价，</w:t>
      </w:r>
      <w:r>
        <w:rPr>
          <w:rFonts w:hint="eastAsia" w:ascii="方正仿宋_GBK" w:hAnsi="方正仿宋_GBK" w:eastAsia="方正仿宋_GBK" w:cs="方正仿宋_GBK"/>
          <w:color w:val="auto"/>
          <w:sz w:val="30"/>
          <w:szCs w:val="30"/>
          <w:highlight w:val="none"/>
          <w:lang w:val="en-US" w:eastAsia="zh-CN"/>
        </w:rPr>
        <w:t>或者线上备案价格</w:t>
      </w:r>
      <w:r>
        <w:rPr>
          <w:rFonts w:hint="default" w:ascii="方正仿宋_GBK" w:hAnsi="方正仿宋_GBK" w:eastAsia="方正仿宋_GBK" w:cs="方正仿宋_GBK"/>
          <w:color w:val="auto"/>
          <w:sz w:val="30"/>
          <w:szCs w:val="30"/>
          <w:highlight w:val="none"/>
          <w:lang w:val="en-US" w:eastAsia="zh-CN"/>
        </w:rPr>
        <w:t>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的投标响应文件交到璧山区人民医院采购办331办公室，收件人王老师，联系电话02341562788。超过投标时间递交投标响应文件的不予受理，通过快递方式邮件投标响应文件的，自行承担快递遗失和未按时递交风险。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上备案采购价格差异较大的产品，由评标小组商议后决定执行线上采购或线上备案采购。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28014287"/>
      <w:bookmarkStart w:id="1" w:name="_Toc156196446"/>
      <w:bookmarkStart w:id="2" w:name="_Toc128229278"/>
      <w:bookmarkStart w:id="3" w:name="_Toc128229721"/>
      <w:bookmarkStart w:id="4" w:name="_Toc237057789"/>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王老师</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yellow"/>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等相关费用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r>
        <w:rPr>
          <w:rFonts w:hint="eastAsia" w:ascii="方正仿宋_GBK" w:hAnsi="方正仿宋_GBK" w:eastAsia="方正仿宋_GBK" w:cs="方正仿宋_GBK"/>
          <w:color w:val="auto"/>
          <w:kern w:val="0"/>
          <w:sz w:val="32"/>
          <w:szCs w:val="32"/>
          <w:highlight w:val="yellow"/>
          <w:lang w:val="en-US" w:eastAsia="zh-CN"/>
        </w:rPr>
        <w:t>6）采购项目结果公示后，中选供应商应将盖鲜章的全套响应文件扫描后电子档发到采购办邮箱，供采购人拟定合同。</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7.不得高于药交所最低成交价和线上备案采购此耗材最低价承诺..........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六、不得高于药交所最低成交价和重庆地区线上备案采购最低价承诺。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66139912"/>
      <w:bookmarkStart w:id="6" w:name="_Toc128229916"/>
      <w:bookmarkStart w:id="7" w:name="_Toc128229745"/>
      <w:bookmarkStart w:id="8" w:name="_Toc156815770"/>
      <w:bookmarkStart w:id="9" w:name="_Toc166549448"/>
      <w:bookmarkStart w:id="10" w:name="_Toc156196470"/>
      <w:bookmarkStart w:id="11" w:name="_Toc128229302"/>
      <w:bookmarkStart w:id="12" w:name="_Toc175017342"/>
      <w:bookmarkStart w:id="13" w:name="_Toc156730450"/>
      <w:bookmarkStart w:id="14" w:name="_Toc156196559"/>
      <w:bookmarkStart w:id="15" w:name="_Toc173677397"/>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56196471"/>
      <w:bookmarkStart w:id="17" w:name="_Toc156815771"/>
      <w:bookmarkStart w:id="18" w:name="_Toc166139913"/>
      <w:bookmarkStart w:id="19" w:name="_Toc173677398"/>
      <w:bookmarkStart w:id="20" w:name="_Toc128229917"/>
      <w:bookmarkStart w:id="21" w:name="_Toc128229746"/>
      <w:bookmarkStart w:id="22" w:name="_Toc175017343"/>
      <w:bookmarkStart w:id="23" w:name="_Toc166549449"/>
      <w:bookmarkStart w:id="24" w:name="_Toc128229303"/>
      <w:bookmarkStart w:id="25" w:name="_Toc156196560"/>
      <w:bookmarkStart w:id="26" w:name="_Toc156730451"/>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73677399"/>
      <w:bookmarkStart w:id="28" w:name="_Toc128229304"/>
      <w:bookmarkStart w:id="29" w:name="_Toc156196472"/>
      <w:bookmarkStart w:id="30" w:name="_Toc128229747"/>
      <w:bookmarkStart w:id="31" w:name="_Toc128014297"/>
      <w:bookmarkStart w:id="32" w:name="_Toc237057793"/>
      <w:bookmarkStart w:id="33" w:name="_Toc175017344"/>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采购方式（选填线上采购集采或线上采购非集采或线上备案采购）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eddce9ef-937b-4286-bf3b-4719743c5a2c}"/>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45"/>
              <w:placeholder>
                <w:docPart w:val="{be334c5d-c866-4db5-a072-8b044ece15d9}"/>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505"/>
              <w:placeholder>
                <w:docPart w:val="{c428b65d-9d30-4fec-9ffc-fde628783e32}"/>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7302"/>
              <w:placeholder>
                <w:docPart w:val="{f880fca4-d393-4be0-87ac-1e90892c497b}"/>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215"/>
              <w:placeholder>
                <w:docPart w:val="{5d226cea-c06a-4987-a9cb-95aa7f15fe1e}"/>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1849"/>
              <w:placeholder>
                <w:docPart w:val="{799bc7ce-e62c-4646-a624-938735c2c2c6}"/>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05"/>
              <w:placeholder>
                <w:docPart w:val="{adf0211b-bc00-4fec-bb84-6fb21e33b844}"/>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0973"/>
              <w:placeholder>
                <w:docPart w:val="{b89ab8cc-69a1-4ef8-a79a-30b1ea26b268}"/>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5024"/>
              <w:placeholder>
                <w:docPart w:val="{ad593bd4-3c69-4438-baef-bfc79c9e8734}"/>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10</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6918"/>
              <w:placeholder>
                <w:docPart w:val="{9a9a9d1c-0b77-40ac-b5cf-95d5cae7694d}"/>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2.采购方式处，从下拉菜单中选择”药交所线上采购“或”药交所线上备案采购“，否则视为无效响应。</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numPr>
          <w:ilvl w:val="0"/>
          <w:numId w:val="3"/>
        </w:numPr>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widowControl/>
        <w:jc w:val="left"/>
        <w:rPr>
          <w:rFonts w:hint="eastAsia" w:ascii="方正仿宋_GBK" w:hAnsi="方正仿宋_GBK" w:eastAsia="方正仿宋_GBK" w:cs="方正仿宋_GBK"/>
          <w:b w:val="0"/>
          <w:bCs/>
          <w:color w:val="auto"/>
          <w:kern w:val="0"/>
          <w:sz w:val="24"/>
          <w:szCs w:val="24"/>
        </w:rPr>
      </w:pPr>
      <w:r>
        <w:rPr>
          <w:rFonts w:hint="eastAsia" w:ascii="宋体" w:hAnsi="宋体"/>
          <w:b w:val="0"/>
          <w:bCs/>
          <w:color w:val="000000"/>
          <w:sz w:val="28"/>
          <w:szCs w:val="28"/>
          <w:highlight w:val="yellow"/>
          <w:lang w:val="en-US" w:eastAsia="zh-CN"/>
        </w:rPr>
        <w:t>2.供应商中选后将此表电子档单独发到采购办邮箱。</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w:t>
      </w:r>
      <w:r>
        <w:rPr>
          <w:rFonts w:hint="eastAsia" w:ascii="方正仿宋_GBK" w:hAnsi="方正仿宋_GBK" w:eastAsia="方正仿宋_GBK" w:cs="方正仿宋_GBK"/>
          <w:sz w:val="30"/>
          <w:szCs w:val="30"/>
          <w:highlight w:val="none"/>
          <w:lang w:val="en-US" w:eastAsia="zh-CN"/>
        </w:rPr>
        <w:t>线上备案采购</w:t>
      </w:r>
      <w:r>
        <w:rPr>
          <w:rFonts w:hint="eastAsia" w:ascii="方正仿宋_GBK" w:hAnsi="方正仿宋_GBK" w:eastAsia="方正仿宋_GBK" w:cs="方正仿宋_GBK"/>
          <w:b w:val="0"/>
          <w:bCs/>
          <w:color w:val="auto"/>
          <w:kern w:val="0"/>
          <w:sz w:val="24"/>
          <w:szCs w:val="24"/>
          <w:lang w:val="en-US" w:eastAsia="zh-CN"/>
        </w:rPr>
        <w:t>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default"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r>
        <w:rPr>
          <w:rFonts w:hint="eastAsia" w:ascii="方正仿宋_GBK" w:hAnsi="方正仿宋_GBK" w:eastAsia="方正仿宋_GBK" w:cs="方正仿宋_GBK"/>
          <w:b w:val="0"/>
          <w:bCs/>
          <w:color w:val="auto"/>
          <w:kern w:val="0"/>
          <w:sz w:val="24"/>
          <w:szCs w:val="24"/>
          <w:highlight w:val="yellow"/>
          <w:lang w:val="en-US" w:eastAsia="zh-CN"/>
        </w:rPr>
        <w:t>其中</w:t>
      </w:r>
      <w:r>
        <w:rPr>
          <w:rFonts w:hint="eastAsia" w:ascii="宋体" w:hAnsi="宋体" w:eastAsia="宋体" w:cs="宋体"/>
          <w:i w:val="0"/>
          <w:iCs w:val="0"/>
          <w:color w:val="FF0000"/>
          <w:kern w:val="0"/>
          <w:sz w:val="24"/>
          <w:szCs w:val="24"/>
          <w:highlight w:val="yellow"/>
          <w:u w:val="none"/>
          <w:lang w:val="en-US" w:eastAsia="zh-CN" w:bidi="ar"/>
        </w:rPr>
        <w:t>备案原因</w:t>
      </w:r>
      <w:r>
        <w:rPr>
          <w:rFonts w:hint="eastAsia" w:ascii="宋体" w:hAnsi="宋体" w:cs="宋体"/>
          <w:i w:val="0"/>
          <w:iCs w:val="0"/>
          <w:color w:val="FF0000"/>
          <w:kern w:val="0"/>
          <w:sz w:val="24"/>
          <w:szCs w:val="24"/>
          <w:highlight w:val="yellow"/>
          <w:u w:val="none"/>
          <w:lang w:val="en-US" w:eastAsia="zh-CN" w:bidi="ar"/>
        </w:rPr>
        <w:t>，只能选择“供货价低于药交所最低成交价”和“产品未挂药交所系统”</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643"/>
        <w:gridCol w:w="810"/>
        <w:gridCol w:w="690"/>
        <w:gridCol w:w="128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6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（只能填写线上采购集采或线上采购非集采或线上备案采购）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highlight w:val="yellow"/>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r>
        <w:rPr>
          <w:rFonts w:hint="eastAsia" w:ascii="宋体" w:hAnsi="宋体"/>
          <w:b w:val="0"/>
          <w:bCs/>
          <w:color w:val="000000"/>
          <w:sz w:val="28"/>
          <w:szCs w:val="28"/>
          <w:highlight w:val="yellow"/>
          <w:lang w:val="en-US" w:eastAsia="zh-CN"/>
        </w:rPr>
        <w:t>供应商中选后将此表电子档单独发到采购办邮箱。</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2D1B8396"/>
    <w:multiLevelType w:val="singleLevel"/>
    <w:tmpl w:val="2D1B8396"/>
    <w:lvl w:ilvl="0" w:tentative="0">
      <w:start w:val="1"/>
      <w:numFmt w:val="decimal"/>
      <w:suff w:val="nothing"/>
      <w:lvlText w:val="%1、"/>
      <w:lvlJc w:val="left"/>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3177D0D"/>
    <w:rsid w:val="03214205"/>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C25027D"/>
    <w:rsid w:val="0D92520D"/>
    <w:rsid w:val="0E693A04"/>
    <w:rsid w:val="0E74655B"/>
    <w:rsid w:val="0F262B64"/>
    <w:rsid w:val="0F2E7B6F"/>
    <w:rsid w:val="0F5C53DF"/>
    <w:rsid w:val="0F776B4A"/>
    <w:rsid w:val="1060172D"/>
    <w:rsid w:val="11135531"/>
    <w:rsid w:val="111663BA"/>
    <w:rsid w:val="1127726F"/>
    <w:rsid w:val="112A1D2D"/>
    <w:rsid w:val="116640D2"/>
    <w:rsid w:val="12333C18"/>
    <w:rsid w:val="127D5626"/>
    <w:rsid w:val="12C54103"/>
    <w:rsid w:val="13396453"/>
    <w:rsid w:val="133C6AD5"/>
    <w:rsid w:val="152F444C"/>
    <w:rsid w:val="153F3EC8"/>
    <w:rsid w:val="18750FA5"/>
    <w:rsid w:val="187A3C70"/>
    <w:rsid w:val="189221C7"/>
    <w:rsid w:val="18A961DF"/>
    <w:rsid w:val="193C6C24"/>
    <w:rsid w:val="19B0630C"/>
    <w:rsid w:val="19BF58A1"/>
    <w:rsid w:val="19C9042A"/>
    <w:rsid w:val="19E31E2D"/>
    <w:rsid w:val="1B672584"/>
    <w:rsid w:val="1BDB1DFC"/>
    <w:rsid w:val="1C2E45B1"/>
    <w:rsid w:val="1CF64572"/>
    <w:rsid w:val="1D38070F"/>
    <w:rsid w:val="1F446E3C"/>
    <w:rsid w:val="1F4E6F21"/>
    <w:rsid w:val="1F9F1AB3"/>
    <w:rsid w:val="206B29E9"/>
    <w:rsid w:val="217A21C5"/>
    <w:rsid w:val="22E50F79"/>
    <w:rsid w:val="24051BA8"/>
    <w:rsid w:val="247C1983"/>
    <w:rsid w:val="260375AF"/>
    <w:rsid w:val="265D3914"/>
    <w:rsid w:val="26E75571"/>
    <w:rsid w:val="26F848F6"/>
    <w:rsid w:val="27897907"/>
    <w:rsid w:val="2A641BEC"/>
    <w:rsid w:val="2A9601E3"/>
    <w:rsid w:val="2A9E4D57"/>
    <w:rsid w:val="2C3D17A3"/>
    <w:rsid w:val="2C4E3A86"/>
    <w:rsid w:val="2D0D69E1"/>
    <w:rsid w:val="2D122324"/>
    <w:rsid w:val="2D2944BE"/>
    <w:rsid w:val="2D5C7FE7"/>
    <w:rsid w:val="2D875292"/>
    <w:rsid w:val="2E4F1A10"/>
    <w:rsid w:val="2F480F12"/>
    <w:rsid w:val="2FBB1EC7"/>
    <w:rsid w:val="30B77259"/>
    <w:rsid w:val="316D0DA5"/>
    <w:rsid w:val="31747F90"/>
    <w:rsid w:val="31EC6056"/>
    <w:rsid w:val="322D045B"/>
    <w:rsid w:val="336B6A5B"/>
    <w:rsid w:val="34817B05"/>
    <w:rsid w:val="34E96C65"/>
    <w:rsid w:val="35B37CD8"/>
    <w:rsid w:val="35F91BA0"/>
    <w:rsid w:val="36455513"/>
    <w:rsid w:val="36592E47"/>
    <w:rsid w:val="369628E3"/>
    <w:rsid w:val="36B97ADD"/>
    <w:rsid w:val="375A4E1C"/>
    <w:rsid w:val="37922606"/>
    <w:rsid w:val="37EE614D"/>
    <w:rsid w:val="395A55A8"/>
    <w:rsid w:val="39670BA3"/>
    <w:rsid w:val="39675BD9"/>
    <w:rsid w:val="397F3D71"/>
    <w:rsid w:val="3A022CB0"/>
    <w:rsid w:val="3A073743"/>
    <w:rsid w:val="3CCA1B30"/>
    <w:rsid w:val="3E633BE2"/>
    <w:rsid w:val="40E13B95"/>
    <w:rsid w:val="41E440AB"/>
    <w:rsid w:val="41EF5F53"/>
    <w:rsid w:val="42784D13"/>
    <w:rsid w:val="43533C25"/>
    <w:rsid w:val="4365514D"/>
    <w:rsid w:val="4413072B"/>
    <w:rsid w:val="446D3310"/>
    <w:rsid w:val="44BE681C"/>
    <w:rsid w:val="45A7242F"/>
    <w:rsid w:val="46F936A8"/>
    <w:rsid w:val="4755437D"/>
    <w:rsid w:val="47AF4141"/>
    <w:rsid w:val="48481EDA"/>
    <w:rsid w:val="4B000257"/>
    <w:rsid w:val="4B01127E"/>
    <w:rsid w:val="4BE06497"/>
    <w:rsid w:val="4BEF7421"/>
    <w:rsid w:val="4C071622"/>
    <w:rsid w:val="4CC6569A"/>
    <w:rsid w:val="4D380C2E"/>
    <w:rsid w:val="4E3A25BC"/>
    <w:rsid w:val="4EA57B48"/>
    <w:rsid w:val="50D61909"/>
    <w:rsid w:val="533A196A"/>
    <w:rsid w:val="545F09D6"/>
    <w:rsid w:val="549A5A48"/>
    <w:rsid w:val="56703AD1"/>
    <w:rsid w:val="56CB70C2"/>
    <w:rsid w:val="572F0FEC"/>
    <w:rsid w:val="57DB33E3"/>
    <w:rsid w:val="587E3D63"/>
    <w:rsid w:val="588C4742"/>
    <w:rsid w:val="59A13C20"/>
    <w:rsid w:val="59BB2054"/>
    <w:rsid w:val="5A100027"/>
    <w:rsid w:val="5A512369"/>
    <w:rsid w:val="5A5B0C64"/>
    <w:rsid w:val="5B656B5D"/>
    <w:rsid w:val="5B716309"/>
    <w:rsid w:val="5C3A2DA7"/>
    <w:rsid w:val="5C5032DC"/>
    <w:rsid w:val="5C78446B"/>
    <w:rsid w:val="5D005BEB"/>
    <w:rsid w:val="5E9A5433"/>
    <w:rsid w:val="5EE9359E"/>
    <w:rsid w:val="5F680545"/>
    <w:rsid w:val="5FC72C41"/>
    <w:rsid w:val="609E5367"/>
    <w:rsid w:val="60A32FC7"/>
    <w:rsid w:val="60AF6D3F"/>
    <w:rsid w:val="60BC4792"/>
    <w:rsid w:val="6224604C"/>
    <w:rsid w:val="622A5268"/>
    <w:rsid w:val="62BA0AE5"/>
    <w:rsid w:val="63B41BA1"/>
    <w:rsid w:val="63C86061"/>
    <w:rsid w:val="63D57455"/>
    <w:rsid w:val="65051C35"/>
    <w:rsid w:val="65825D08"/>
    <w:rsid w:val="65C64E6A"/>
    <w:rsid w:val="661C43A8"/>
    <w:rsid w:val="673D548B"/>
    <w:rsid w:val="6870599E"/>
    <w:rsid w:val="68A37B22"/>
    <w:rsid w:val="69D16388"/>
    <w:rsid w:val="69F33675"/>
    <w:rsid w:val="6A6C788F"/>
    <w:rsid w:val="6B3B2D19"/>
    <w:rsid w:val="6D116053"/>
    <w:rsid w:val="6D406C99"/>
    <w:rsid w:val="6DA93E2C"/>
    <w:rsid w:val="6DC35E66"/>
    <w:rsid w:val="6E2521BC"/>
    <w:rsid w:val="6E2F6425"/>
    <w:rsid w:val="6E3E05AF"/>
    <w:rsid w:val="6E9248C1"/>
    <w:rsid w:val="6FB1521A"/>
    <w:rsid w:val="708539A9"/>
    <w:rsid w:val="70EB33E3"/>
    <w:rsid w:val="71F12BBF"/>
    <w:rsid w:val="73054CC1"/>
    <w:rsid w:val="73B16225"/>
    <w:rsid w:val="740F0761"/>
    <w:rsid w:val="74195F93"/>
    <w:rsid w:val="74581E2E"/>
    <w:rsid w:val="748822F3"/>
    <w:rsid w:val="748930CA"/>
    <w:rsid w:val="74E26423"/>
    <w:rsid w:val="75AD2D57"/>
    <w:rsid w:val="76383848"/>
    <w:rsid w:val="76CA13F7"/>
    <w:rsid w:val="775F23E8"/>
    <w:rsid w:val="78C334AB"/>
    <w:rsid w:val="7907664D"/>
    <w:rsid w:val="7A4128DE"/>
    <w:rsid w:val="7A5D40AB"/>
    <w:rsid w:val="7B2C0FDB"/>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89ab8cc-69a1-4ef8-a79a-30b1ea26b268}"/>
        <w:style w:val=""/>
        <w:category>
          <w:name w:val="常规"/>
          <w:gallery w:val="placeholder"/>
        </w:category>
        <w:types>
          <w:type w:val="bbPlcHdr"/>
        </w:types>
        <w:behaviors>
          <w:behavior w:val="content"/>
        </w:behaviors>
        <w:description w:val=""/>
        <w:guid w:val="{b89ab8cc-69a1-4ef8-a79a-30b1ea26b268}"/>
      </w:docPartPr>
      <w:docPartBody>
        <w:p>
          <w:r>
            <w:rPr>
              <w:color w:val="808080"/>
            </w:rPr>
            <w:t>选择一项。</w:t>
          </w:r>
        </w:p>
      </w:docPartBody>
    </w:docPart>
    <w:docPart>
      <w:docPartPr>
        <w:name w:val="{ad593bd4-3c69-4438-baef-bfc79c9e8734}"/>
        <w:style w:val=""/>
        <w:category>
          <w:name w:val="常规"/>
          <w:gallery w:val="placeholder"/>
        </w:category>
        <w:types>
          <w:type w:val="bbPlcHdr"/>
        </w:types>
        <w:behaviors>
          <w:behavior w:val="content"/>
        </w:behaviors>
        <w:description w:val=""/>
        <w:guid w:val="{ad593bd4-3c69-4438-baef-bfc79c9e8734}"/>
      </w:docPartPr>
      <w:docPartBody>
        <w:p>
          <w:r>
            <w:rPr>
              <w:color w:val="808080"/>
            </w:rPr>
            <w:t>选择一项。</w:t>
          </w:r>
        </w:p>
      </w:docPartBody>
    </w:docPart>
    <w:docPart>
      <w:docPartPr>
        <w:name w:val="{9a9a9d1c-0b77-40ac-b5cf-95d5cae7694d}"/>
        <w:style w:val=""/>
        <w:category>
          <w:name w:val="常规"/>
          <w:gallery w:val="placeholder"/>
        </w:category>
        <w:types>
          <w:type w:val="bbPlcHdr"/>
        </w:types>
        <w:behaviors>
          <w:behavior w:val="content"/>
        </w:behaviors>
        <w:description w:val=""/>
        <w:guid w:val="{9a9a9d1c-0b77-40ac-b5cf-95d5cae7694d}"/>
      </w:docPartPr>
      <w:docPartBody>
        <w:p>
          <w:r>
            <w:rPr>
              <w:color w:val="808080"/>
            </w:rPr>
            <w:t>选择一项。</w:t>
          </w:r>
        </w:p>
      </w:docPartBody>
    </w:docPart>
    <w:docPart>
      <w:docPartPr>
        <w:name w:val="{c428b65d-9d30-4fec-9ffc-fde628783e32}"/>
        <w:style w:val=""/>
        <w:category>
          <w:name w:val="常规"/>
          <w:gallery w:val="placeholder"/>
        </w:category>
        <w:types>
          <w:type w:val="bbPlcHdr"/>
        </w:types>
        <w:behaviors>
          <w:behavior w:val="content"/>
        </w:behaviors>
        <w:description w:val=""/>
        <w:guid w:val="{c428b65d-9d30-4fec-9ffc-fde628783e32}"/>
      </w:docPartPr>
      <w:docPartBody>
        <w:p>
          <w:r>
            <w:rPr>
              <w:color w:val="808080"/>
            </w:rPr>
            <w:t>选择一项。</w:t>
          </w:r>
        </w:p>
      </w:docPartBody>
    </w:docPart>
    <w:docPart>
      <w:docPartPr>
        <w:name w:val="{eddce9ef-937b-4286-bf3b-4719743c5a2c}"/>
        <w:style w:val=""/>
        <w:category>
          <w:name w:val="常规"/>
          <w:gallery w:val="placeholder"/>
        </w:category>
        <w:types>
          <w:type w:val="bbPlcHdr"/>
        </w:types>
        <w:behaviors>
          <w:behavior w:val="content"/>
        </w:behaviors>
        <w:description w:val=""/>
        <w:guid w:val="{eddce9ef-937b-4286-bf3b-4719743c5a2c}"/>
      </w:docPartPr>
      <w:docPartBody>
        <w:p>
          <w:r>
            <w:rPr>
              <w:color w:val="808080"/>
            </w:rPr>
            <w:t>选择一项。</w:t>
          </w:r>
        </w:p>
      </w:docPartBody>
    </w:docPart>
    <w:docPart>
      <w:docPartPr>
        <w:name w:val="{be334c5d-c866-4db5-a072-8b044ece15d9}"/>
        <w:style w:val=""/>
        <w:category>
          <w:name w:val="常规"/>
          <w:gallery w:val="placeholder"/>
        </w:category>
        <w:types>
          <w:type w:val="bbPlcHdr"/>
        </w:types>
        <w:behaviors>
          <w:behavior w:val="content"/>
        </w:behaviors>
        <w:description w:val=""/>
        <w:guid w:val="{be334c5d-c866-4db5-a072-8b044ece15d9}"/>
      </w:docPartPr>
      <w:docPartBody>
        <w:p>
          <w:r>
            <w:rPr>
              <w:color w:val="808080"/>
            </w:rPr>
            <w:t>选择一项。</w:t>
          </w:r>
        </w:p>
      </w:docPartBody>
    </w:docPart>
    <w:docPart>
      <w:docPartPr>
        <w:name w:val="{f880fca4-d393-4be0-87ac-1e90892c497b}"/>
        <w:style w:val=""/>
        <w:category>
          <w:name w:val="常规"/>
          <w:gallery w:val="placeholder"/>
        </w:category>
        <w:types>
          <w:type w:val="bbPlcHdr"/>
        </w:types>
        <w:behaviors>
          <w:behavior w:val="content"/>
        </w:behaviors>
        <w:description w:val=""/>
        <w:guid w:val="{f880fca4-d393-4be0-87ac-1e90892c497b}"/>
      </w:docPartPr>
      <w:docPartBody>
        <w:p>
          <w:r>
            <w:rPr>
              <w:color w:val="808080"/>
            </w:rPr>
            <w:t>选择一项。</w:t>
          </w:r>
        </w:p>
      </w:docPartBody>
    </w:docPart>
    <w:docPart>
      <w:docPartPr>
        <w:name w:val="{5d226cea-c06a-4987-a9cb-95aa7f15fe1e}"/>
        <w:style w:val=""/>
        <w:category>
          <w:name w:val="常规"/>
          <w:gallery w:val="placeholder"/>
        </w:category>
        <w:types>
          <w:type w:val="bbPlcHdr"/>
        </w:types>
        <w:behaviors>
          <w:behavior w:val="content"/>
        </w:behaviors>
        <w:description w:val=""/>
        <w:guid w:val="{5d226cea-c06a-4987-a9cb-95aa7f15fe1e}"/>
      </w:docPartPr>
      <w:docPartBody>
        <w:p>
          <w:r>
            <w:rPr>
              <w:color w:val="808080"/>
            </w:rPr>
            <w:t>选择一项。</w:t>
          </w:r>
        </w:p>
      </w:docPartBody>
    </w:docPart>
    <w:docPart>
      <w:docPartPr>
        <w:name w:val="{799bc7ce-e62c-4646-a624-938735c2c2c6}"/>
        <w:style w:val=""/>
        <w:category>
          <w:name w:val="常规"/>
          <w:gallery w:val="placeholder"/>
        </w:category>
        <w:types>
          <w:type w:val="bbPlcHdr"/>
        </w:types>
        <w:behaviors>
          <w:behavior w:val="content"/>
        </w:behaviors>
        <w:description w:val=""/>
        <w:guid w:val="{799bc7ce-e62c-4646-a624-938735c2c2c6}"/>
      </w:docPartPr>
      <w:docPartBody>
        <w:p>
          <w:r>
            <w:rPr>
              <w:color w:val="808080"/>
            </w:rPr>
            <w:t>选择一项。</w:t>
          </w:r>
        </w:p>
      </w:docPartBody>
    </w:docPart>
    <w:docPart>
      <w:docPartPr>
        <w:name w:val="{adf0211b-bc00-4fec-bb84-6fb21e33b844}"/>
        <w:style w:val=""/>
        <w:category>
          <w:name w:val="常规"/>
          <w:gallery w:val="placeholder"/>
        </w:category>
        <w:types>
          <w:type w:val="bbPlcHdr"/>
        </w:types>
        <w:behaviors>
          <w:behavior w:val="content"/>
        </w:behaviors>
        <w:description w:val=""/>
        <w:guid w:val="{adf0211b-bc00-4fec-bb84-6fb21e33b844}"/>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10280</Words>
  <Characters>11705</Characters>
  <Lines>202</Lines>
  <Paragraphs>243</Paragraphs>
  <TotalTime>0</TotalTime>
  <ScaleCrop>false</ScaleCrop>
  <LinksUpToDate>false</LinksUpToDate>
  <CharactersWithSpaces>12226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2025-09-17T06:52:07Z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BDFFE33ABC8A4B1BB8B2B5823EBA275F_13</vt:lpwstr>
  </property>
  <property fmtid="{D5CDD505-2E9C-101B-9397-08002B2CF9AE}" pid="4" name="KSOTemplateDocerSaveRecord">
    <vt:lpwstr>eyJoZGlkIjoiNzliNmRkY2YyN2FjZDQwMDgzZGM4ZDZkNTA3MTFmNGMiLCJ1c2VySWQiOiIxNjE2MTQ1MTM5In0=</vt:lpwstr>
  </property>
</Properties>
</file>